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D8AD" w14:textId="77777777" w:rsidR="005B676A" w:rsidRDefault="000E6900">
      <w:r>
        <w:rPr>
          <w:bCs/>
          <w:lang w:val="cy-GB"/>
        </w:rPr>
        <w:t>Disgrifiad Swydd: Swyddi Gwasanaethau Proffesiynol</w:t>
      </w:r>
      <w:r>
        <w:rPr>
          <w:b w:val="0"/>
          <w:u w:val="none"/>
          <w:lang w:val="cy-GB"/>
        </w:rPr>
        <w:t xml:space="preserve"> </w:t>
      </w:r>
    </w:p>
    <w:p w14:paraId="05505D56" w14:textId="77777777" w:rsidR="005B676A" w:rsidRDefault="000E6900">
      <w:pPr>
        <w:ind w:right="0"/>
        <w:jc w:val="left"/>
      </w:pPr>
      <w:r>
        <w:rPr>
          <w:b w:val="0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ED5F1" wp14:editId="7B0241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186795"/>
                <wp:effectExtent l="0" t="0" r="0" b="0"/>
                <wp:wrapTopAndBottom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86795"/>
                          <a:chOff x="0" y="0"/>
                          <a:chExt cx="7560564" cy="1186795"/>
                        </a:xfrm>
                      </wpg:grpSpPr>
                      <pic:pic xmlns:pic="http://schemas.openxmlformats.org/drawingml/2006/picture">
                        <pic:nvPicPr>
                          <pic:cNvPr id="6703" name="Picture 67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738874" y="4503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C1210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81546" y="4503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006AB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96074" y="4613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C00E5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color w:val="FFFFFF"/>
                                  <w:sz w:val="22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80155" y="6213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A18A8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2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80155" y="78351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441B4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sz w:val="28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80155" y="98798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011AA" w14:textId="77777777" w:rsidR="005B676A" w:rsidRDefault="000E69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sz w:val="28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27" o:spid="_x0000_s1025" style="width:595.32pt;height:93.45pt;margin-top:0;margin-left:0;mso-position-horizontal-relative:page;mso-position-vertical-relative:page;mso-wrap-distance-bottom:0;mso-wrap-distance-left:9pt;mso-wrap-distance-right:9pt;mso-wrap-distance-top:0;position:absolute;z-index:25165824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552;height:20803;position:absolute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61;height:4113;left:19252;position:absolute;top:8196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width:161;height:4113;left:19374;position:absolute;top:8196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width:148;height:3784;left:20559;position:absolute;top:8397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width:148;height:3784;left:10800;position:absolute;top:11310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2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width:188;height:4813;left:10800;position:absolute;top:14260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width:188;height:4813;left:10800;position:absolute;top:17982;v-text-anchor:top" fillcolor="this" stroked="f">
                  <v:textbox inset="0,0,0,0">
                    <w:txbxContent>
                      <w:p w:rsidR="005B676A" w14:textId="77777777">
                        <w:pPr>
                          <w:bidi w:val="0"/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u w:val="none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Cs/>
          <w:sz w:val="22"/>
          <w:u w:val="none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549"/>
        <w:gridCol w:w="8367"/>
      </w:tblGrid>
      <w:tr w:rsidR="00D11EEE" w14:paraId="51B4181E" w14:textId="77777777">
        <w:trPr>
          <w:trHeight w:val="27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771962B6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 xml:space="preserve">Cyfadran/Adran: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E258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Gwasanaethau Digidol</w:t>
            </w:r>
          </w:p>
        </w:tc>
      </w:tr>
      <w:tr w:rsidR="00D11EEE" w14:paraId="5FC7C703" w14:textId="77777777"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050E220D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>Teitl y Swydd:</w:t>
            </w:r>
            <w:r>
              <w:rPr>
                <w:b w:val="0"/>
                <w:color w:val="FFFFFF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676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Technegydd (Clyweledol) 2</w:t>
            </w:r>
            <w:r>
              <w:rPr>
                <w:b w:val="0"/>
                <w:sz w:val="22"/>
                <w:u w:val="none"/>
                <w:vertAlign w:val="superscript"/>
                <w:lang w:val="cy-GB"/>
              </w:rPr>
              <w:t>il</w:t>
            </w:r>
            <w:r>
              <w:rPr>
                <w:b w:val="0"/>
                <w:sz w:val="22"/>
                <w:u w:val="none"/>
                <w:lang w:val="cy-GB"/>
              </w:rPr>
              <w:t xml:space="preserve"> Linell y Ddesg Wasanaeth TG</w:t>
            </w:r>
          </w:p>
        </w:tc>
      </w:tr>
      <w:tr w:rsidR="00D11EEE" w14:paraId="11689F5E" w14:textId="77777777"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0E2A9622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>Adran/Pwnc:</w:t>
            </w:r>
            <w:r>
              <w:rPr>
                <w:b w:val="0"/>
                <w:color w:val="FFFFFF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5A3D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Rheoli Gwasanaethau Digidol </w:t>
            </w:r>
          </w:p>
        </w:tc>
      </w:tr>
      <w:tr w:rsidR="00D11EEE" w14:paraId="2A8B1EAA" w14:textId="77777777"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75B69E61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>Cyflog:</w:t>
            </w:r>
            <w:r>
              <w:rPr>
                <w:bCs/>
                <w:i/>
                <w:iCs/>
                <w:color w:val="FFFFFF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925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Gradd 5 £25,138 - £27,979 </w:t>
            </w:r>
          </w:p>
        </w:tc>
      </w:tr>
      <w:tr w:rsidR="00D11EEE" w14:paraId="13D94796" w14:textId="77777777"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36241ABA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 xml:space="preserve">Oriau Gwaith: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298A" w14:textId="77777777" w:rsidR="005B676A" w:rsidRDefault="000E6900">
            <w:pPr>
              <w:ind w:left="2" w:right="0"/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  <w:lang w:val="cy-GB"/>
              </w:rPr>
              <w:t>35 awr yr wythnos.</w:t>
            </w:r>
          </w:p>
          <w:p w14:paraId="13A0500D" w14:textId="77777777" w:rsidR="008374D1" w:rsidRPr="008374D1" w:rsidRDefault="008374D1">
            <w:pPr>
              <w:ind w:left="2" w:right="0"/>
              <w:jc w:val="left"/>
              <w:rPr>
                <w:b w:val="0"/>
                <w:bCs/>
                <w:u w:val="none"/>
              </w:rPr>
            </w:pPr>
          </w:p>
          <w:p w14:paraId="082BD00D" w14:textId="77777777" w:rsidR="008374D1" w:rsidRDefault="000E6900">
            <w:pPr>
              <w:ind w:left="2" w:right="0"/>
              <w:jc w:val="left"/>
            </w:pPr>
            <w:r w:rsidRPr="008374D1">
              <w:rPr>
                <w:b w:val="0"/>
                <w:bCs/>
                <w:sz w:val="22"/>
                <w:szCs w:val="22"/>
                <w:u w:val="none"/>
                <w:lang w:val="cy-GB"/>
              </w:rPr>
              <w:t xml:space="preserve">Oriau gwasanaeth arferol yn ystod tymor y Brifysgol yw 7am tan 6pm pum niwrnod yr wythnos (sy'n gallu newid). Bydd gan ddeiliad y swydd ymagwedd hyblyg at batrymau gwaith a pharodrwydd i addasu. Gall hyn gynnwys gweithio oriau ansafonol i gyflawni gweithgareddau, gan gynnwys diwrnodau agored, cyfnodau pan fydd myfyrwyr yn cyrraedd a digwyddiadau allweddol eraill y Brifysgol. </w:t>
            </w:r>
          </w:p>
        </w:tc>
      </w:tr>
      <w:tr w:rsidR="00D11EEE" w14:paraId="78F4D1A3" w14:textId="77777777">
        <w:trPr>
          <w:trHeight w:val="27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119BF633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>Contract:</w:t>
            </w:r>
            <w:r>
              <w:rPr>
                <w:b w:val="0"/>
                <w:color w:val="FFFFFF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88D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Swydd barhaol yw hon </w:t>
            </w:r>
          </w:p>
        </w:tc>
      </w:tr>
      <w:tr w:rsidR="00D11EEE" w14:paraId="6F62C6EE" w14:textId="77777777">
        <w:trPr>
          <w:trHeight w:val="54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631B40F1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2"/>
                <w:u w:val="none"/>
                <w:lang w:val="cy-GB"/>
              </w:rPr>
              <w:t>Lleoliad:</w:t>
            </w:r>
            <w:r>
              <w:rPr>
                <w:b w:val="0"/>
                <w:color w:val="FFFFFF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897" w14:textId="77777777" w:rsidR="005B676A" w:rsidRDefault="000E6900">
            <w:pPr>
              <w:ind w:left="2" w:right="0"/>
              <w:jc w:val="both"/>
            </w:pPr>
            <w:r>
              <w:rPr>
                <w:b w:val="0"/>
                <w:sz w:val="22"/>
                <w:u w:val="none"/>
                <w:lang w:val="cy-GB"/>
              </w:rPr>
              <w:t xml:space="preserve">Bydd yr ymgeisydd llwyddiannus yn gweithio'n bennaf yn un o'n dau brif gampws, ond bydd yn rhaid iddo weithio mewn modd ystwyth ar draws y ddau gampws o bryd i'w gilydd. </w:t>
            </w:r>
          </w:p>
        </w:tc>
      </w:tr>
    </w:tbl>
    <w:p w14:paraId="3B767CA4" w14:textId="77777777" w:rsidR="005B676A" w:rsidRDefault="000E6900">
      <w:pPr>
        <w:ind w:right="0"/>
        <w:jc w:val="left"/>
      </w:pPr>
      <w:r>
        <w:rPr>
          <w:b w:val="0"/>
          <w:sz w:val="22"/>
          <w:u w:val="none"/>
          <w:lang w:val="cy-GB"/>
        </w:rPr>
        <w:t xml:space="preserve"> </w:t>
      </w:r>
    </w:p>
    <w:tbl>
      <w:tblPr>
        <w:tblStyle w:val="TableGrid"/>
        <w:tblW w:w="10916" w:type="dxa"/>
        <w:tblInd w:w="-169" w:type="dxa"/>
        <w:tblCellMar>
          <w:top w:w="48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558"/>
        <w:gridCol w:w="9358"/>
      </w:tblGrid>
      <w:tr w:rsidR="00D11EEE" w14:paraId="310B3AC0" w14:textId="77777777">
        <w:trPr>
          <w:trHeight w:val="336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4B9873DF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>Cyflwyniad</w:t>
            </w: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191D" w14:textId="77777777" w:rsidR="005B676A" w:rsidRDefault="000E6900">
            <w:pPr>
              <w:spacing w:after="240" w:line="240" w:lineRule="auto"/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Mae Prifysgol Abertawe yn sefydliad blaengar sy'n cydbwyso addysg ac ymchwil, sydd wedi cael ei gynnwys ymysg y 30 sefydliad gorau mewn tablau cynghrair yn ddiweddar, ac sydd wedi cynnal ei berfformiad rhagorol o ran profiad myfyrwyr a chyflogadwyedd.  </w:t>
            </w:r>
          </w:p>
          <w:p w14:paraId="0FAA44FB" w14:textId="77777777" w:rsidR="005B676A" w:rsidRDefault="000E6900">
            <w:pPr>
              <w:spacing w:after="239" w:line="241" w:lineRule="auto"/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Mae gweithio ym Mhrifysgol Abertawe yn cynnig cyfle i chi weithio gyda phobl sy’n llawn ysbrydoliaeth ar amrywiaeth o brosiectau i wella'r profiad i staff a myfyrwyr a chefnogi ymchwil a fydd yn gwneud gwahaniaeth go iawn i’r byd.  </w:t>
            </w:r>
          </w:p>
          <w:p w14:paraId="122503B0" w14:textId="77777777" w:rsidR="005B676A" w:rsidRDefault="000E6900">
            <w:pPr>
              <w:ind w:left="2" w:right="81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Mae'r Brifysgol a’r Gwasanaethau TG yn annog pobl i feddwl yn wahanol, gan gynnig cyfleoedd i roi cynnig ar ymagweddau a dulliau newydd, a hwyluso’r meddylfryd gwahanol hwn wrth sicrhau y diwellir anghenion busnes ar yr un pryd. </w:t>
            </w:r>
          </w:p>
        </w:tc>
      </w:tr>
      <w:tr w:rsidR="00D11EEE" w14:paraId="3DAEC470" w14:textId="77777777">
        <w:trPr>
          <w:trHeight w:val="557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16D999FD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lastRenderedPageBreak/>
              <w:t>Gwybodaeth gefndirol</w:t>
            </w: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44" w14:textId="77777777" w:rsidR="005B676A" w:rsidRDefault="000E6900" w:rsidP="0016219B">
            <w:pPr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Mae'r Gwasanaethau Digidol yn cael eu trawsnewid yn gyflym a bydd ail-lunio ein darpariaeth Desg Wasanaeth i fodloni heriau cefnogi a galluogi buddsoddiad ehangach gwerth £20m yn y Gwasanaethau TG (mewn meysydd megis Seiberddiogelwch a Rhwydweithio) yn elfen sylfaenol allweddol. </w:t>
            </w:r>
          </w:p>
          <w:p w14:paraId="40E22BE0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3FB9FBAE" w14:textId="77777777" w:rsidR="005B676A" w:rsidRDefault="000E6900">
            <w:pPr>
              <w:spacing w:line="240" w:lineRule="auto"/>
              <w:ind w:left="2" w:right="0"/>
              <w:jc w:val="both"/>
            </w:pPr>
            <w:r>
              <w:rPr>
                <w:b w:val="0"/>
                <w:sz w:val="24"/>
                <w:u w:val="none"/>
                <w:lang w:val="cy-GB"/>
              </w:rPr>
              <w:t xml:space="preserve">Y weledigaeth fydd ailgysylltu ein darpariaeth cymorth TG ag anghenion ein cwsmeriaid, proffesiynoli ein gwasanaethau, arbed amser i bawb a phontio'r bylchau gallu sydd gennym.   </w:t>
            </w:r>
          </w:p>
          <w:p w14:paraId="5CF90ABD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591DEE44" w14:textId="77777777" w:rsidR="005B676A" w:rsidRDefault="000E6900">
            <w:pPr>
              <w:spacing w:line="241" w:lineRule="auto"/>
              <w:ind w:left="2" w:right="102"/>
              <w:jc w:val="both"/>
            </w:pPr>
            <w:r>
              <w:rPr>
                <w:b w:val="0"/>
                <w:sz w:val="24"/>
                <w:u w:val="none"/>
                <w:lang w:val="cy-GB"/>
              </w:rPr>
              <w:t xml:space="preserve">Tîm y Ddesg Wasanaeth yw wyneb cyhoeddus y Gwasanaethau Digidol, gan osod safonau o ran hyrwyddo cwsmeriaid ac ymgysylltu â nhw. Cynnig cymorth arbenigol, cyngor a chymryd cyfrifoldeb am ymateb i ddigwyddiadau a datrys problemau cwsmeriaid mewn ffordd brydlon ac effeithlon fydd y conglfeini wrth wireddu ein gweledigaeth.    </w:t>
            </w:r>
          </w:p>
          <w:p w14:paraId="6C4A9F56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05CF9105" w14:textId="77777777" w:rsidR="005B676A" w:rsidRDefault="000E6900">
            <w:pPr>
              <w:spacing w:line="240" w:lineRule="auto"/>
              <w:ind w:left="2" w:right="0"/>
              <w:jc w:val="both"/>
            </w:pPr>
            <w:r>
              <w:rPr>
                <w:b w:val="0"/>
                <w:sz w:val="24"/>
                <w:u w:val="none"/>
                <w:lang w:val="cy-GB"/>
              </w:rPr>
              <w:t>A chithau'n Dechnegydd 2</w:t>
            </w:r>
            <w:r>
              <w:rPr>
                <w:b w:val="0"/>
                <w:sz w:val="24"/>
                <w:u w:val="none"/>
                <w:vertAlign w:val="superscript"/>
                <w:lang w:val="cy-GB"/>
              </w:rPr>
              <w:t>il</w:t>
            </w:r>
            <w:r>
              <w:rPr>
                <w:b w:val="0"/>
                <w:sz w:val="24"/>
                <w:u w:val="none"/>
                <w:lang w:val="cy-GB"/>
              </w:rPr>
              <w:t xml:space="preserve"> Linell y Ddesg Wasanaeth TG sy'n arbenigo mewn cymorth clyweledol, byddwch yn gwneud cyfraniad allweddol at ddarparu gwasanaeth cymorth clyweledol proffesiynol sy'n canolbwyntio ar gwsmeriaid. </w:t>
            </w:r>
          </w:p>
          <w:p w14:paraId="06FB1A27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6A26F985" w14:textId="77777777" w:rsidR="005B676A" w:rsidRDefault="000E6900">
            <w:pPr>
              <w:spacing w:line="240" w:lineRule="auto"/>
              <w:ind w:left="2" w:right="112"/>
              <w:jc w:val="both"/>
            </w:pPr>
            <w:r>
              <w:rPr>
                <w:b w:val="0"/>
                <w:sz w:val="24"/>
                <w:u w:val="none"/>
                <w:lang w:val="cy-GB"/>
              </w:rPr>
              <w:t xml:space="preserve">Defnyddio eich profiad a'ch sgiliau (yn ogystal â phrofiad a sgiliau aelodau eraill eich tîm a chydweithwyr yn y Gwasanaethau TG yn ehangach) i ymdrin â digwyddiadau ar draws y dirwedd TG a chlyweledol fydd prif her y rôl hon. </w:t>
            </w:r>
          </w:p>
          <w:p w14:paraId="743F5BB9" w14:textId="77777777" w:rsidR="005B676A" w:rsidRDefault="005B676A">
            <w:pPr>
              <w:ind w:left="2" w:right="0"/>
              <w:jc w:val="left"/>
            </w:pPr>
          </w:p>
        </w:tc>
      </w:tr>
      <w:tr w:rsidR="00D11EEE" w14:paraId="57CB6724" w14:textId="77777777">
        <w:trPr>
          <w:trHeight w:val="162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74B2DCD1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>Prif Ddiben y Swydd</w:t>
            </w:r>
          </w:p>
          <w:p w14:paraId="0CCE3FDB" w14:textId="77777777" w:rsidR="005B676A" w:rsidRDefault="005B676A">
            <w:pPr>
              <w:ind w:right="0"/>
              <w:jc w:val="left"/>
            </w:pPr>
          </w:p>
          <w:p w14:paraId="5F7466D5" w14:textId="77777777" w:rsidR="005B676A" w:rsidRDefault="000E6900">
            <w:pPr>
              <w:ind w:right="0"/>
              <w:jc w:val="left"/>
            </w:pP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  <w:p w14:paraId="0F99F504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42B1" w14:textId="77777777" w:rsidR="005B676A" w:rsidRDefault="000E6900">
            <w:pPr>
              <w:numPr>
                <w:ilvl w:val="0"/>
                <w:numId w:val="1"/>
              </w:numPr>
              <w:spacing w:after="34" w:line="239" w:lineRule="auto"/>
              <w:ind w:right="4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Gan adrodd yn uniongyrchol i'r Cydlynydd </w:t>
            </w:r>
            <w:r>
              <w:rPr>
                <w:b w:val="0"/>
                <w:sz w:val="22"/>
                <w:u w:val="none"/>
                <w:lang w:val="cy-GB"/>
              </w:rPr>
              <w:t>Clyweledol 2</w:t>
            </w:r>
            <w:r>
              <w:rPr>
                <w:b w:val="0"/>
                <w:sz w:val="22"/>
                <w:u w:val="none"/>
                <w:vertAlign w:val="superscript"/>
                <w:lang w:val="cy-GB"/>
              </w:rPr>
              <w:t>il</w:t>
            </w:r>
            <w:r>
              <w:rPr>
                <w:b w:val="0"/>
                <w:sz w:val="22"/>
                <w:u w:val="none"/>
                <w:lang w:val="cy-GB"/>
              </w:rPr>
              <w:t xml:space="preserve"> Linell, bydd Technegydd (Clyweledol) 2</w:t>
            </w:r>
            <w:r>
              <w:rPr>
                <w:b w:val="0"/>
                <w:sz w:val="22"/>
                <w:u w:val="none"/>
                <w:vertAlign w:val="superscript"/>
                <w:lang w:val="cy-GB"/>
              </w:rPr>
              <w:t>il</w:t>
            </w:r>
            <w:r>
              <w:rPr>
                <w:b w:val="0"/>
                <w:sz w:val="22"/>
                <w:u w:val="none"/>
                <w:lang w:val="cy-GB"/>
              </w:rPr>
              <w:t xml:space="preserve"> Linell y Ddesg Wasanaeth yn ymgymryd â gweithgareddau cymorth ar draws tirwedd y Gwasanaethau Digidol, gan roi pwyslais cryf ar ein hystad glyweledol, sy'n cynnwys mannau addysgu a chyfarfod.  </w:t>
            </w:r>
          </w:p>
          <w:p w14:paraId="1B604889" w14:textId="77777777" w:rsidR="005B676A" w:rsidRDefault="000E6900">
            <w:pPr>
              <w:numPr>
                <w:ilvl w:val="0"/>
                <w:numId w:val="1"/>
              </w:numPr>
              <w:ind w:right="4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Dilyn y prosesau rheoli digwyddiadau a datrys ceisiadau, yn unol ag amcanion y Ddesg Wasanaeth TG, i ddatrys cynifer o ddigwyddiadau a cheisiadau sy'n cael eu huwchgyfeirio gan y timau llinell gyntaf â phosib (gan ddefnyddio'r holl ffynonellau data priodol megis digwyddiadau neu geisiadau hanesyddol, cronfeydd gwybodaeth, profiad a gwybodaeth yn nhîm y Ddesg Wasanaeth). </w:t>
            </w:r>
          </w:p>
        </w:tc>
      </w:tr>
    </w:tbl>
    <w:p w14:paraId="3140B2D6" w14:textId="77777777" w:rsidR="005B676A" w:rsidRDefault="005B676A">
      <w:pPr>
        <w:ind w:left="-720" w:right="10149"/>
        <w:jc w:val="left"/>
      </w:pPr>
    </w:p>
    <w:tbl>
      <w:tblPr>
        <w:tblStyle w:val="TableGrid"/>
        <w:tblW w:w="10916" w:type="dxa"/>
        <w:tblInd w:w="-169" w:type="dxa"/>
        <w:tblCellMar>
          <w:top w:w="12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651"/>
        <w:gridCol w:w="827"/>
        <w:gridCol w:w="8438"/>
      </w:tblGrid>
      <w:tr w:rsidR="00D11EEE" w14:paraId="2A20B177" w14:textId="77777777">
        <w:trPr>
          <w:trHeight w:val="56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1A197EA8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1CAE5F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5A6D51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Uwchgyfeirio'n briodol unrhyw ddigwyddiadau neu geisiadau na ellir eu datrys yn unol ag amserlen briodol. </w:t>
            </w:r>
          </w:p>
        </w:tc>
      </w:tr>
      <w:tr w:rsidR="00D11EEE" w14:paraId="51F5BB28" w14:textId="77777777">
        <w:trPr>
          <w:trHeight w:val="538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4344F16E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EEE293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70488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Ymgymryd â gwaith sy'n deillio o brosiectau cymorth, ceisiadau am newid neu broblemau sy'n cael eu cofnodi, gan sicrhau bod yr holl weithgareddau o'r fath yn bodloni lefelau gwasanaeth disgwyliedig.  </w:t>
            </w:r>
          </w:p>
        </w:tc>
      </w:tr>
      <w:tr w:rsidR="00D11EEE" w14:paraId="70B07DCD" w14:textId="77777777">
        <w:trPr>
          <w:trHeight w:val="537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5B19E0FF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96CF5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35B012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Cyfrannu at greu, adolygu a chynnal cronfeydd data, i helpu i ymdrin â digwyddiadau neu ddatrys ceisiadau parhaus. </w:t>
            </w:r>
          </w:p>
        </w:tc>
      </w:tr>
      <w:tr w:rsidR="00D11EEE" w14:paraId="634B46CA" w14:textId="77777777">
        <w:trPr>
          <w:trHeight w:val="805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3DD70474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D2AE07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6.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6B4538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Cynnal prosesau a gweithdrefnau ar draws safleoedd y campws i helpu i sicrhau argaeledd offer a gwasanaethau clyweledol (e.e. ystafelloedd addysgu, mannau cyfarfod, etc); cyfrannu at ddatblygu prosesau lle nad yw'r rhain ar gael. </w:t>
            </w:r>
          </w:p>
        </w:tc>
      </w:tr>
      <w:tr w:rsidR="00D11EEE" w14:paraId="7CADA3BD" w14:textId="77777777">
        <w:trPr>
          <w:trHeight w:val="538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59E79E3B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AE1806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7.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C68CF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Ymweld â chwsmeriaid wrth eu desgiau neu mewn mannau addas ar y campws, i helpu i archwilio, trwsio neu ddatrys problemau wrth weithredu offer.  </w:t>
            </w:r>
          </w:p>
        </w:tc>
      </w:tr>
      <w:tr w:rsidR="00D11EEE" w14:paraId="57768368" w14:textId="77777777">
        <w:trPr>
          <w:trHeight w:val="806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14:paraId="2C6F81FF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DAE2B0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8.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7459E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Sicrhau cydymffurfiaeth â gofynion cyfreithiol a rheoleiddiol o ran cydraddoldeb ac amrywiaeth, diogelu data, hawlfraint a thrwyddedu, diogelwch, polisïau ariannol a pholisïau eraill y Brifysgol, a gweithdrefnau fel y bo'n briodol. </w:t>
            </w:r>
          </w:p>
        </w:tc>
      </w:tr>
      <w:tr w:rsidR="00D11EEE" w14:paraId="6AE022C9" w14:textId="77777777">
        <w:trPr>
          <w:trHeight w:val="1259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789C11C8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3202B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9.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5C47F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Ceisio adborth a gweithredu arno’n barhaus i ddysgu a datblygu fel gweithiwr proffesiynol, gan gymryd cyfrifoldeb am eich datblygiad proffesiynol parhaus eich hun a bod yn esiampl i gydweithwyr. Wrth chwilio am gyfleoedd i wella pobl a phrosesau'n barhaus, disgwylir i'r holl staff TG ddatblygu at ddibenion twf personol a phroffesiynol neu yn ôl gofynion gweithredol. </w:t>
            </w:r>
          </w:p>
        </w:tc>
      </w:tr>
      <w:tr w:rsidR="00D11EEE" w14:paraId="2E2265FB" w14:textId="77777777">
        <w:trPr>
          <w:trHeight w:val="190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vAlign w:val="bottom"/>
          </w:tcPr>
          <w:p w14:paraId="33A37387" w14:textId="77777777" w:rsidR="005B676A" w:rsidRDefault="000E6900">
            <w:pPr>
              <w:ind w:left="107"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>Dyletswyddau Cyffredinol</w:t>
            </w: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93DB49" w14:textId="77777777" w:rsidR="005B676A" w:rsidRDefault="000E6900">
            <w:pPr>
              <w:spacing w:after="266" w:line="265" w:lineRule="auto"/>
              <w:ind w:left="385" w:right="0"/>
              <w:jc w:val="center"/>
            </w:pPr>
            <w:r>
              <w:rPr>
                <w:b w:val="0"/>
                <w:sz w:val="22"/>
                <w:u w:val="none"/>
                <w:lang w:val="cy-GB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  <w:r>
              <w:rPr>
                <w:b w:val="0"/>
                <w:sz w:val="22"/>
                <w:u w:val="none"/>
                <w:lang w:val="cy-GB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63503FCE" w14:textId="77777777" w:rsidR="005B676A" w:rsidRDefault="000E6900">
            <w:pPr>
              <w:spacing w:after="275"/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18ACBC32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BC9565" w14:textId="26E3EBAA" w:rsidR="005B676A" w:rsidRDefault="000E6900">
            <w:pPr>
              <w:spacing w:line="239" w:lineRule="auto"/>
              <w:ind w:right="357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Cyfrannu'n llawn at bolisïau Galluogi Perfformiad ac Iaith Gymraeg y Brifysgol. </w:t>
            </w:r>
            <w:r>
              <w:rPr>
                <w:b w:val="0"/>
                <w:sz w:val="22"/>
                <w:u w:val="none"/>
                <w:lang w:val="cy-GB"/>
              </w:rPr>
              <w:t xml:space="preserve">Hyrwyddo cydraddoldeb ac amrywiaeth mewn arferion gweithio a chynnal perthnasoedd gweithio cadarnhaol. </w:t>
            </w:r>
          </w:p>
          <w:p w14:paraId="1EBC0542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Arwain wrth wella perfformiad iechyd a diogelwch yn barhaus drwy ddealltwriaeth dda o'r proffil risg a thrwy ddatblygu diwylliant cadarnhaol o ran iechyd a diogelwch. Unrhyw ddyletswyddau eraill y gellir eu disgwyl o fewn diffiniad y radd yn unol â chyfarwyddyd Pennaeth y Gyfadran/yr Adran neu gynrychiolydd a enwebwyd ganddo. </w:t>
            </w:r>
          </w:p>
        </w:tc>
      </w:tr>
      <w:tr w:rsidR="00D11EEE" w14:paraId="70367E4C" w14:textId="77777777">
        <w:trPr>
          <w:trHeight w:val="72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78AF2014" w14:textId="77777777" w:rsidR="005B676A" w:rsidRDefault="005B676A">
            <w:pPr>
              <w:spacing w:after="160"/>
              <w:ind w:right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E8D8F" w14:textId="77777777" w:rsidR="005B676A" w:rsidRDefault="000E6900">
            <w:pPr>
              <w:ind w:left="46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  <w:u w:val="none"/>
                <w:lang w:val="cy-GB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98F2D" w14:textId="77777777" w:rsidR="005B676A" w:rsidRDefault="000E6900">
            <w:pPr>
              <w:ind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Sicrhau bod rheoli risg yn rhan annatod o'ch gweithgareddau beunyddiol i sicrhau bod arferion gwaith yn cydymffurfio â Pholisi Rheoli Risg y Brifysgol.  </w:t>
            </w:r>
          </w:p>
        </w:tc>
      </w:tr>
      <w:tr w:rsidR="00D11EEE" w14:paraId="3FE9F8E0" w14:textId="77777777">
        <w:trPr>
          <w:trHeight w:val="624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7598185A" w14:textId="77777777" w:rsidR="005B676A" w:rsidRDefault="000E6900">
            <w:pPr>
              <w:ind w:left="107"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>Gwerthoedd y Gwasanaethau Proffesiynol</w:t>
            </w:r>
          </w:p>
          <w:p w14:paraId="66EB2084" w14:textId="77777777" w:rsidR="005B676A" w:rsidRDefault="005B676A">
            <w:pPr>
              <w:ind w:left="107" w:right="0"/>
              <w:jc w:val="left"/>
            </w:pPr>
          </w:p>
          <w:p w14:paraId="654B507A" w14:textId="77777777" w:rsidR="005B676A" w:rsidRDefault="000E6900">
            <w:pPr>
              <w:ind w:left="107" w:right="0"/>
              <w:jc w:val="left"/>
            </w:pP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113" w14:textId="32DE1AB1" w:rsidR="005B676A" w:rsidRDefault="000E6900">
            <w:pPr>
              <w:spacing w:after="278" w:line="239" w:lineRule="auto"/>
              <w:ind w:left="109" w:right="47"/>
              <w:jc w:val="both"/>
            </w:pPr>
            <w:r>
              <w:rPr>
                <w:b w:val="0"/>
                <w:sz w:val="22"/>
                <w:u w:val="none"/>
                <w:lang w:val="cy-GB"/>
              </w:rPr>
              <w:t>Mae holl feysydd Gwasanaethau Proffesiynol ym Mhrifysgol Abertawe yn gweithredu yn ôl cyfres ddiffiniedig o Werthoedd Craidd –</w:t>
            </w:r>
            <w:hyperlink r:id="rId9" w:history="1">
              <w:r>
                <w:rPr>
                  <w:b w:val="0"/>
                  <w:sz w:val="22"/>
                  <w:u w:val="none"/>
                  <w:lang w:val="cy-GB"/>
                </w:rPr>
                <w:t xml:space="preserve"> </w:t>
              </w:r>
            </w:hyperlink>
            <w:hyperlink r:id="rId10" w:history="1">
              <w:r w:rsidRPr="00BA135C">
                <w:rPr>
                  <w:b w:val="0"/>
                  <w:color w:val="0000FF"/>
                  <w:sz w:val="22"/>
                  <w:lang w:val="cy-GB"/>
                </w:rPr>
                <w:t>Gwerthoedd y Gwasana</w:t>
              </w:r>
              <w:r w:rsidRPr="00BA135C">
                <w:rPr>
                  <w:b w:val="0"/>
                  <w:color w:val="0000FF"/>
                  <w:sz w:val="22"/>
                  <w:lang w:val="cy-GB"/>
                </w:rPr>
                <w:t>ethau Proffesiynol</w:t>
              </w:r>
            </w:hyperlink>
            <w:hyperlink r:id="rId11" w:history="1">
              <w:r>
                <w:rPr>
                  <w:b w:val="0"/>
                  <w:sz w:val="22"/>
                  <w:u w:val="none"/>
                  <w:lang w:val="cy-GB"/>
                </w:rPr>
                <w:t xml:space="preserve"> </w:t>
              </w:r>
            </w:hyperlink>
            <w:r w:rsidR="00BA135C">
              <w:rPr>
                <w:b w:val="0"/>
                <w:sz w:val="22"/>
                <w:u w:val="none"/>
                <w:lang w:val="cy-GB"/>
              </w:rPr>
              <w:t>–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  <w:r>
              <w:rPr>
                <w:b w:val="0"/>
                <w:sz w:val="22"/>
                <w:u w:val="none"/>
                <w:lang w:val="cy-GB"/>
              </w:rPr>
              <w:t xml:space="preserve">a disgwylir y gall pawb ddangos ymrwymiad i’r gwerthoedd hyn o'r adeg cyflwyno cais am swydd i gyflawni eu rolau o ddydd i ddydd. Mae ymrwymiad i'n gwerthoedd ym Mhrifysgol Abertawe yn ein cefnogi wrth hyrwyddo cydraddoldeb ac wrth werthfawrogi amrywiaeth er mwyn defnyddio'r holl ddoniau sydd gennym.  </w:t>
            </w:r>
          </w:p>
          <w:p w14:paraId="68DC26D4" w14:textId="77777777" w:rsidR="005B676A" w:rsidRDefault="000E6900">
            <w:pPr>
              <w:ind w:left="109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 xml:space="preserve">Rydym yn Broffesiynol  </w:t>
            </w:r>
          </w:p>
          <w:p w14:paraId="60CA844E" w14:textId="77777777" w:rsidR="005B676A" w:rsidRDefault="000E6900">
            <w:pPr>
              <w:spacing w:line="239" w:lineRule="auto"/>
              <w:ind w:left="10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Rydym yn ymfalchïo mewn defnyddio ein gwybodaeth, ein sgiliau, ein creadigrwydd, ein gonestrwydd a'n doethineb i ddarparu gwasanaethau arloesol, effeithiol ac effeithlon ynghyd ag atebion o safon ardderchog </w:t>
            </w:r>
          </w:p>
          <w:p w14:paraId="544296C0" w14:textId="77777777" w:rsidR="005B676A" w:rsidRDefault="000E6900">
            <w:pPr>
              <w:ind w:left="109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 xml:space="preserve"> </w:t>
            </w:r>
          </w:p>
          <w:p w14:paraId="199E2B9A" w14:textId="77777777" w:rsidR="005B676A" w:rsidRDefault="000E6900">
            <w:pPr>
              <w:ind w:left="109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 xml:space="preserve">Rydym yn Cydweithio         </w:t>
            </w:r>
            <w:r>
              <w:rPr>
                <w:b w:val="0"/>
                <w:sz w:val="22"/>
                <w:u w:val="none"/>
                <w:lang w:val="cy-GB"/>
              </w:rPr>
              <w:t xml:space="preserve">          </w:t>
            </w:r>
          </w:p>
          <w:p w14:paraId="63FB8357" w14:textId="77777777" w:rsidR="005B676A" w:rsidRDefault="000E6900">
            <w:pPr>
              <w:spacing w:after="278" w:line="239" w:lineRule="auto"/>
              <w:ind w:left="10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Rydym yn ymfalchïo mewn amgylchedd gweithio rhagweithiol a chydweithredol o gydraddoldeb, ymddiriedaeth, parch, cydweithio a her, i ddarparu gwasanaethau sy'n ceisio rhagori ar anghenion a disgwyliadau cwsmeriaid. </w:t>
            </w:r>
          </w:p>
          <w:p w14:paraId="42EA9CFD" w14:textId="77777777" w:rsidR="005B676A" w:rsidRDefault="000E6900">
            <w:pPr>
              <w:ind w:left="109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 xml:space="preserve">Rydym yn Ofalgar  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3D955D78" w14:textId="77777777" w:rsidR="005B676A" w:rsidRDefault="000E6900">
            <w:pPr>
              <w:spacing w:after="280" w:line="240" w:lineRule="auto"/>
              <w:ind w:left="109" w:right="31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14:paraId="262F89FB" w14:textId="77777777" w:rsidR="005B676A" w:rsidRDefault="000E6900">
            <w:pPr>
              <w:spacing w:after="22" w:line="237" w:lineRule="auto"/>
              <w:ind w:left="109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Mae ymrwymiad i'n gwerthoedd ym Mhrifysgol Abertawe yn ein cefnogi wrth hyrwyddo cydraddoldeb ac wrth werthfawrogi amrywiaeth er mwyn defnyddio'r holl ddoniau sydd gennym. </w:t>
            </w:r>
          </w:p>
          <w:p w14:paraId="08CD1D4E" w14:textId="77777777" w:rsidR="005B676A" w:rsidRDefault="000E6900">
            <w:pPr>
              <w:ind w:left="109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</w:tc>
      </w:tr>
    </w:tbl>
    <w:p w14:paraId="0DFD846B" w14:textId="77777777" w:rsidR="005B676A" w:rsidRDefault="005B676A">
      <w:pPr>
        <w:ind w:left="-720" w:right="10149"/>
        <w:jc w:val="left"/>
      </w:pPr>
    </w:p>
    <w:tbl>
      <w:tblPr>
        <w:tblStyle w:val="TableGrid"/>
        <w:tblW w:w="10916" w:type="dxa"/>
        <w:tblInd w:w="-169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558"/>
        <w:gridCol w:w="9358"/>
      </w:tblGrid>
      <w:tr w:rsidR="00D11EEE" w14:paraId="0EDE87C7" w14:textId="77777777" w:rsidTr="0025714D">
        <w:trPr>
          <w:trHeight w:val="2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bottom"/>
          </w:tcPr>
          <w:p w14:paraId="51CDA495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t>Manyleb</w:t>
            </w: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  <w:r>
              <w:rPr>
                <w:bCs/>
                <w:color w:val="FFFFFF"/>
                <w:sz w:val="24"/>
                <w:u w:val="none"/>
                <w:lang w:val="cy-GB"/>
              </w:rPr>
              <w:t>Person</w:t>
            </w:r>
          </w:p>
          <w:p w14:paraId="592FCC4F" w14:textId="77777777" w:rsidR="005B676A" w:rsidRDefault="000E6900">
            <w:pPr>
              <w:spacing w:after="216"/>
              <w:ind w:right="0"/>
              <w:jc w:val="left"/>
            </w:pP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  <w:p w14:paraId="19BDC6EC" w14:textId="77777777" w:rsidR="005B676A" w:rsidRDefault="000E6900">
            <w:pPr>
              <w:ind w:right="0"/>
              <w:jc w:val="left"/>
            </w:pPr>
            <w:r>
              <w:rPr>
                <w:b w:val="0"/>
                <w:color w:val="FFFFFF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582" w14:textId="77777777" w:rsidR="005B676A" w:rsidRDefault="000E6900">
            <w:pPr>
              <w:spacing w:after="259"/>
              <w:ind w:left="2" w:right="0"/>
              <w:jc w:val="left"/>
            </w:pPr>
            <w:r>
              <w:rPr>
                <w:bCs/>
                <w:sz w:val="22"/>
                <w:lang w:val="cy-GB"/>
              </w:rPr>
              <w:t>Meini Prawf Hanfodol:</w:t>
            </w:r>
            <w:r>
              <w:rPr>
                <w:bCs/>
                <w:sz w:val="22"/>
                <w:u w:val="none"/>
                <w:lang w:val="cy-GB"/>
              </w:rPr>
              <w:t xml:space="preserve"> </w:t>
            </w:r>
          </w:p>
          <w:p w14:paraId="2A31016D" w14:textId="77777777" w:rsidR="005B676A" w:rsidRDefault="000E6900">
            <w:pPr>
              <w:spacing w:after="12"/>
              <w:ind w:left="2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>Gwerthoedd: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35108B17" w14:textId="77777777" w:rsidR="005B676A" w:rsidRDefault="000E6900">
            <w:pPr>
              <w:numPr>
                <w:ilvl w:val="0"/>
                <w:numId w:val="2"/>
              </w:numPr>
              <w:spacing w:after="10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Tystiolaeth o ymfalchïo mewn darparu atebion a gwasanaethau proffesiynol. </w:t>
            </w:r>
          </w:p>
          <w:p w14:paraId="56B4B8B0" w14:textId="77777777" w:rsidR="005B676A" w:rsidRDefault="000E6900">
            <w:pPr>
              <w:numPr>
                <w:ilvl w:val="0"/>
                <w:numId w:val="2"/>
              </w:numPr>
              <w:spacing w:after="34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 gallu i gydweithio mewn amgylchedd o gydraddoldeb, ymddiriedaeth a pharch i ddarparu gwasanaethau sy'n ceisio rhagori ar anghenion a disgwyliadau cwsmeriaid. </w:t>
            </w:r>
          </w:p>
          <w:p w14:paraId="6E1E0EC7" w14:textId="77777777" w:rsidR="00247F87" w:rsidRPr="00247F87" w:rsidRDefault="000E6900">
            <w:pPr>
              <w:numPr>
                <w:ilvl w:val="0"/>
                <w:numId w:val="2"/>
              </w:numPr>
              <w:spacing w:after="281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Tystiolaeth amlwg o ymagwedd ofalgar at eich holl gwsmeriaid, gan sicrhau profiad personol a chadarnhaol.</w:t>
            </w:r>
          </w:p>
          <w:p w14:paraId="1229D624" w14:textId="77777777" w:rsidR="005B676A" w:rsidRDefault="000E6900">
            <w:pPr>
              <w:numPr>
                <w:ilvl w:val="0"/>
                <w:numId w:val="2"/>
              </w:numPr>
              <w:spacing w:after="281" w:line="239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Profiad o weithio mewn amgylchedd cymorth clyweledol/desg wasanaeth TG. </w:t>
            </w:r>
          </w:p>
          <w:p w14:paraId="6A08E1A4" w14:textId="77777777" w:rsidR="005B676A" w:rsidRDefault="000E6900">
            <w:pPr>
              <w:spacing w:after="21"/>
              <w:ind w:left="2" w:right="0"/>
              <w:jc w:val="left"/>
            </w:pPr>
            <w:r>
              <w:rPr>
                <w:bCs/>
                <w:sz w:val="22"/>
                <w:u w:val="none"/>
                <w:lang w:val="cy-GB"/>
              </w:rPr>
              <w:t>Cymwysterau: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71C5441D" w14:textId="77777777" w:rsidR="005B676A" w:rsidRDefault="000E6900">
            <w:pPr>
              <w:numPr>
                <w:ilvl w:val="2"/>
                <w:numId w:val="4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lastRenderedPageBreak/>
              <w:t xml:space="preserve">Gradd C neu'n uwch mewn TGAU Mathemateg a Saesneg (neu gymhwyster cyfwerth) </w:t>
            </w:r>
          </w:p>
          <w:p w14:paraId="37D3102F" w14:textId="77777777" w:rsidR="005B676A" w:rsidRDefault="000E6900">
            <w:pPr>
              <w:numPr>
                <w:ilvl w:val="2"/>
                <w:numId w:val="4"/>
              </w:numPr>
              <w:spacing w:after="252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Cymhwyster Lefel 3 neu'n uwch sy'n ymwneud â TG  </w:t>
            </w:r>
          </w:p>
          <w:p w14:paraId="3720BA75" w14:textId="77777777" w:rsidR="005B676A" w:rsidRDefault="000E6900">
            <w:pPr>
              <w:spacing w:after="243"/>
              <w:ind w:left="2" w:right="0"/>
              <w:jc w:val="left"/>
            </w:pPr>
            <w:r>
              <w:rPr>
                <w:bCs/>
                <w:sz w:val="24"/>
                <w:u w:val="none"/>
                <w:lang w:val="cy-GB"/>
              </w:rPr>
              <w:t>Profiad/Gwybodaeth a Sgiliau:</w:t>
            </w: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7D9DFD1B" w14:textId="77777777" w:rsidR="005B676A" w:rsidRDefault="000E6900">
            <w:pPr>
              <w:numPr>
                <w:ilvl w:val="2"/>
                <w:numId w:val="4"/>
              </w:numPr>
              <w:spacing w:after="44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Profiad o ddarparu cymorth rhagorol i gwsmeriaid, yn ddelfrydol fel rhan o dîm cymorth clyweledol, desg wasanaeth TG – neu fel technegydd TG neu rôl debyg. </w:t>
            </w:r>
          </w:p>
          <w:p w14:paraId="3103F683" w14:textId="77777777" w:rsidR="005B676A" w:rsidRDefault="000E6900">
            <w:pPr>
              <w:numPr>
                <w:ilvl w:val="2"/>
                <w:numId w:val="4"/>
              </w:numPr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Profiad o weithio gyda chydweithwyr i ddatrys ymholiadau cwsmeriaid yn llwyddiannus a chyflawni amcanion tîm.  </w:t>
            </w:r>
          </w:p>
          <w:p w14:paraId="0014C341" w14:textId="77777777" w:rsidR="005B676A" w:rsidRDefault="000E6900">
            <w:pPr>
              <w:numPr>
                <w:ilvl w:val="2"/>
                <w:numId w:val="4"/>
              </w:numPr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Gwybodaeth helaeth a chyfredol am amrywiaeth eang o gymwysiadau, platfformau a chyfarpar clyweledol a TG. </w:t>
            </w:r>
          </w:p>
          <w:p w14:paraId="379348EA" w14:textId="77777777" w:rsidR="005B676A" w:rsidRDefault="000E6900">
            <w:pPr>
              <w:numPr>
                <w:ilvl w:val="2"/>
                <w:numId w:val="4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Tystiolaeth o graffu ar y gorwel, i nodi tueddiadau ac arloesi yn y diwydiant.  </w:t>
            </w:r>
          </w:p>
          <w:p w14:paraId="28610A9C" w14:textId="77777777" w:rsidR="005B676A" w:rsidRDefault="000E6900">
            <w:pPr>
              <w:numPr>
                <w:ilvl w:val="2"/>
                <w:numId w:val="4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Sgiliau cyfathrebu ardderchog yn ysgrifenedig ac ar lafar.  </w:t>
            </w:r>
          </w:p>
          <w:p w14:paraId="2DE0BC5E" w14:textId="77777777" w:rsidR="005B676A" w:rsidRDefault="000E6900">
            <w:pPr>
              <w:numPr>
                <w:ilvl w:val="2"/>
                <w:numId w:val="4"/>
              </w:numPr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 gallu i gofnodi, rhoi diagnosis a datrys problemau clyweledol a TG yn gywir, yn unol â phrosesau safonol y gellir eu hailddefnyddio. </w:t>
            </w:r>
          </w:p>
          <w:p w14:paraId="21A736BF" w14:textId="77777777" w:rsidR="005B676A" w:rsidRDefault="000E6900">
            <w:pPr>
              <w:numPr>
                <w:ilvl w:val="2"/>
                <w:numId w:val="4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Tystiolaeth o’r gallu i ddefnyddio technoleg yn gywir ac yn hyderus.  </w:t>
            </w:r>
          </w:p>
          <w:p w14:paraId="26EBF3A3" w14:textId="77777777" w:rsidR="005B676A" w:rsidRDefault="000E6900">
            <w:pPr>
              <w:numPr>
                <w:ilvl w:val="2"/>
                <w:numId w:val="4"/>
              </w:numPr>
              <w:spacing w:after="46" w:line="240" w:lineRule="auto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Tystiolaeth o’r gallu i weithio ar sawl tasg ar yr un pryd, gan weithio ar draws sianeli, gan gynnig cymorth mewn sawl lleoliad i gwsmeriaid ag anghenion amrywiol.  </w:t>
            </w:r>
          </w:p>
          <w:p w14:paraId="44EE7B2C" w14:textId="77777777" w:rsidR="005B676A" w:rsidRDefault="000E6900">
            <w:pPr>
              <w:numPr>
                <w:ilvl w:val="2"/>
                <w:numId w:val="4"/>
              </w:numPr>
              <w:spacing w:after="211"/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 gallu i gyfrannu at wella holl brosesau'r Ddesg Wasanaeth yn barhaus. </w:t>
            </w:r>
          </w:p>
          <w:p w14:paraId="0BF8215A" w14:textId="77777777" w:rsidR="005B676A" w:rsidRDefault="000E6900">
            <w:pPr>
              <w:ind w:left="2" w:right="0"/>
              <w:jc w:val="left"/>
            </w:pPr>
            <w:r>
              <w:rPr>
                <w:bCs/>
                <w:sz w:val="24"/>
                <w:u w:val="none"/>
                <w:lang w:val="cy-GB"/>
              </w:rPr>
              <w:t xml:space="preserve">Y Gymraeg:  </w:t>
            </w:r>
          </w:p>
          <w:p w14:paraId="49242F6B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Lefel 1 – ‘ychydig’ (ni fydd angen i chi allu siarad Cymraeg i gyflwyno cais am y rôl hon) </w:t>
            </w:r>
          </w:p>
          <w:p w14:paraId="0C3BFEC8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74A9E923" w14:textId="77777777" w:rsidR="005B676A" w:rsidRDefault="000E6900">
            <w:pPr>
              <w:spacing w:line="239" w:lineRule="auto"/>
              <w:ind w:left="2" w:right="46"/>
              <w:jc w:val="both"/>
            </w:pPr>
            <w:r>
              <w:rPr>
                <w:b w:val="0"/>
                <w:i/>
                <w:iCs/>
                <w:sz w:val="22"/>
                <w:u w:val="none"/>
                <w:lang w:val="cy-GB"/>
              </w:rPr>
              <w:t>e.e. ynganu geiriau Cymraeg, enwau lleoedd, enwau adrannau.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  <w:r>
              <w:rPr>
                <w:b w:val="0"/>
                <w:i/>
                <w:iCs/>
                <w:sz w:val="22"/>
                <w:u w:val="none"/>
                <w:lang w:val="cy-GB"/>
              </w:rPr>
              <w:t>Gallu ateb y ffôn yn Gymraeg (bore da/pnawn da).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  <w:r>
              <w:rPr>
                <w:b w:val="0"/>
                <w:i/>
                <w:iCs/>
                <w:sz w:val="22"/>
                <w:u w:val="none"/>
                <w:lang w:val="cy-GB"/>
              </w:rPr>
              <w:t>Gallu defnyddio/dysgu geiriau ac ymadroddion pob dydd sylfaenol iawn (diolch, os gwelwch yn dda, esgusodwch fi).</w:t>
            </w: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  <w:r>
              <w:rPr>
                <w:b w:val="0"/>
                <w:i/>
                <w:iCs/>
                <w:sz w:val="22"/>
                <w:u w:val="none"/>
                <w:lang w:val="cy-GB"/>
              </w:rPr>
              <w:t xml:space="preserve">Gallwch gyrraedd Lefel 1 drwy gwblhau cwrs hyfforddiant un awr. </w:t>
            </w:r>
          </w:p>
          <w:p w14:paraId="3561E38B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076320D8" w14:textId="0F9337E5" w:rsidR="005B676A" w:rsidRDefault="000E6900">
            <w:pPr>
              <w:spacing w:after="292" w:line="239" w:lineRule="auto"/>
              <w:ind w:left="2" w:right="0"/>
              <w:jc w:val="both"/>
            </w:pPr>
            <w:r>
              <w:rPr>
                <w:b w:val="0"/>
                <w:sz w:val="22"/>
                <w:u w:val="none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2" w:history="1">
              <w:r>
                <w:rPr>
                  <w:b w:val="0"/>
                  <w:color w:val="0000FF"/>
                  <w:sz w:val="22"/>
                  <w:u w:color="0000FF"/>
                  <w:lang w:val="cy-GB"/>
                </w:rPr>
                <w:t>y</w:t>
              </w:r>
              <w:r>
                <w:rPr>
                  <w:b w:val="0"/>
                  <w:color w:val="0000FF"/>
                  <w:sz w:val="22"/>
                  <w:u w:color="0000FF"/>
                  <w:lang w:val="cy-GB"/>
                </w:rPr>
                <w:t>ma</w:t>
              </w:r>
            </w:hyperlink>
            <w:hyperlink r:id="rId13" w:history="1">
              <w:r>
                <w:rPr>
                  <w:b w:val="0"/>
                  <w:sz w:val="22"/>
                  <w:u w:val="none"/>
                  <w:lang w:val="cy-GB"/>
                </w:rPr>
                <w:t>.</w:t>
              </w:r>
            </w:hyperlink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00EFADAE" w14:textId="77777777" w:rsidR="005B676A" w:rsidRDefault="000E6900">
            <w:pPr>
              <w:ind w:left="2" w:right="0"/>
              <w:jc w:val="left"/>
            </w:pPr>
            <w:r>
              <w:rPr>
                <w:bCs/>
                <w:sz w:val="22"/>
                <w:lang w:val="cy-GB"/>
              </w:rPr>
              <w:t>Meini Prawf Dymunol:</w:t>
            </w:r>
            <w:r>
              <w:rPr>
                <w:bCs/>
                <w:sz w:val="24"/>
                <w:u w:val="none"/>
                <w:lang w:val="cy-GB"/>
              </w:rPr>
              <w:t xml:space="preserve"> </w:t>
            </w:r>
          </w:p>
          <w:p w14:paraId="05E689F6" w14:textId="77777777" w:rsidR="005B676A" w:rsidRDefault="000E6900">
            <w:pPr>
              <w:spacing w:after="3"/>
              <w:ind w:left="2" w:right="0"/>
              <w:jc w:val="left"/>
            </w:pP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  <w:p w14:paraId="78475A1D" w14:textId="77777777" w:rsidR="005B676A" w:rsidRDefault="000E6900">
            <w:pPr>
              <w:numPr>
                <w:ilvl w:val="2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 gallu i gyfathrebu yn Gymraeg. </w:t>
            </w:r>
          </w:p>
          <w:p w14:paraId="6458F544" w14:textId="77777777" w:rsidR="005B676A" w:rsidRDefault="000E6900">
            <w:pPr>
              <w:numPr>
                <w:ilvl w:val="2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Profiad uniongyrchol o gymorth clyweledol/TG mewn prifysgol a/neu brofiad arall yn y sector cyhoeddus </w:t>
            </w:r>
          </w:p>
          <w:p w14:paraId="43C60D7E" w14:textId="77777777" w:rsidR="005B676A" w:rsidRDefault="000E6900">
            <w:pPr>
              <w:numPr>
                <w:ilvl w:val="2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Hyfforddiant Sylfaen fersiwn 3 neu fersiwn 4 y Llyfrgell Seilwaith Technoleg Gwybodaeth </w:t>
            </w:r>
          </w:p>
          <w:p w14:paraId="200061CF" w14:textId="77777777" w:rsidR="005B676A" w:rsidRDefault="000E6900">
            <w:pPr>
              <w:numPr>
                <w:ilvl w:val="2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>Tystiolaeth o ddatblygiad proffesiynol parhaus a defnyddio sgiliau proffesiynol perthnasol</w:t>
            </w:r>
          </w:p>
          <w:p w14:paraId="49B4FD2B" w14:textId="77777777" w:rsidR="005B676A" w:rsidRDefault="000E6900">
            <w:pPr>
              <w:spacing w:after="199"/>
              <w:ind w:left="72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  <w:p w14:paraId="3F613296" w14:textId="77777777" w:rsidR="005B676A" w:rsidRDefault="005B676A" w:rsidP="0016219B">
            <w:pPr>
              <w:ind w:right="0"/>
              <w:jc w:val="left"/>
            </w:pPr>
          </w:p>
        </w:tc>
      </w:tr>
      <w:tr w:rsidR="00D11EEE" w14:paraId="7917A5BC" w14:textId="77777777" w:rsidTr="0025714D">
        <w:trPr>
          <w:trHeight w:val="119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0A0B8442" w14:textId="77777777" w:rsidR="005B676A" w:rsidRDefault="000E6900">
            <w:pPr>
              <w:ind w:right="0"/>
              <w:jc w:val="left"/>
            </w:pPr>
            <w:r>
              <w:rPr>
                <w:bCs/>
                <w:color w:val="FFFFFF"/>
                <w:sz w:val="24"/>
                <w:u w:val="none"/>
                <w:lang w:val="cy-GB"/>
              </w:rPr>
              <w:lastRenderedPageBreak/>
              <w:t xml:space="preserve">Gwybodaeth Ychwanegol </w:t>
            </w:r>
            <w:r>
              <w:rPr>
                <w:b w:val="0"/>
                <w:sz w:val="24"/>
                <w:u w:val="none"/>
                <w:lang w:val="cy-GB"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CD5" w14:textId="77777777" w:rsidR="005B676A" w:rsidRDefault="000E6900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Ymholiadau anffurfiol: Nicky Roberts, Pennaeth Rheoli Gwasanaethau Digidol, </w:t>
            </w:r>
            <w:hyperlink r:id="rId14" w:history="1">
              <w:r w:rsidR="00247F87" w:rsidRPr="007626FD">
                <w:rPr>
                  <w:rStyle w:val="Hyperlink"/>
                  <w:b w:val="0"/>
                  <w:sz w:val="22"/>
                  <w:lang w:val="cy-GB"/>
                </w:rPr>
                <w:t>n.s.roberts@abertawe.ac.uk</w:t>
              </w:r>
            </w:hyperlink>
            <w:r w:rsidR="00247F87">
              <w:rPr>
                <w:b w:val="0"/>
                <w:sz w:val="22"/>
                <w:u w:val="none"/>
                <w:lang w:val="cy-GB"/>
              </w:rPr>
              <w:t xml:space="preserve">  </w:t>
            </w:r>
            <w:r>
              <w:rPr>
                <w:rFonts w:ascii="Segoe UI" w:eastAsia="Segoe UI" w:hAnsi="Segoe UI" w:cs="Segoe UI"/>
                <w:b w:val="0"/>
                <w:sz w:val="18"/>
                <w:u w:val="none"/>
                <w:lang w:val="cy-GB"/>
              </w:rPr>
              <w:t xml:space="preserve"> </w:t>
            </w:r>
          </w:p>
          <w:p w14:paraId="2ED694CF" w14:textId="77777777" w:rsidR="005B676A" w:rsidRDefault="000E6900" w:rsidP="0025714D">
            <w:pPr>
              <w:ind w:left="2" w:right="0"/>
              <w:jc w:val="left"/>
            </w:pPr>
            <w:r>
              <w:rPr>
                <w:b w:val="0"/>
                <w:sz w:val="22"/>
                <w:u w:val="none"/>
                <w:lang w:val="cy-GB"/>
              </w:rPr>
              <w:t xml:space="preserve"> </w:t>
            </w:r>
          </w:p>
        </w:tc>
      </w:tr>
    </w:tbl>
    <w:p w14:paraId="1B3E03A7" w14:textId="77777777" w:rsidR="005B676A" w:rsidRDefault="000E6900">
      <w:pPr>
        <w:tabs>
          <w:tab w:val="center" w:pos="2880"/>
          <w:tab w:val="center" w:pos="4507"/>
          <w:tab w:val="center" w:pos="5761"/>
          <w:tab w:val="center" w:pos="6481"/>
          <w:tab w:val="center" w:pos="7201"/>
          <w:tab w:val="right" w:pos="9429"/>
        </w:tabs>
        <w:ind w:right="0"/>
        <w:jc w:val="left"/>
      </w:pPr>
      <w:r>
        <w:rPr>
          <w:noProof/>
        </w:rPr>
        <w:drawing>
          <wp:inline distT="0" distB="0" distL="0" distR="0" wp14:anchorId="20A48CEE" wp14:editId="63BF465F">
            <wp:extent cx="1190625" cy="771525"/>
            <wp:effectExtent l="0" t="0" r="0" b="0"/>
            <wp:docPr id="649" name="Picture 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54042" name="Picture 6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  <w:t xml:space="preserve"> </w:t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</w:r>
      <w:r>
        <w:rPr>
          <w:noProof/>
        </w:rPr>
        <w:drawing>
          <wp:inline distT="0" distB="0" distL="0" distR="0" wp14:anchorId="3BFBA864" wp14:editId="4077E429">
            <wp:extent cx="1065835" cy="661035"/>
            <wp:effectExtent l="0" t="0" r="0" b="0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49197" name="Picture 6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58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lang w:val="cy-GB"/>
        </w:rPr>
        <w:t xml:space="preserve"> </w:t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  <w:t xml:space="preserve"> </w:t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  <w:t xml:space="preserve"> </w:t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  <w:t xml:space="preserve"> </w:t>
      </w:r>
      <w:r>
        <w:rPr>
          <w:rFonts w:ascii="Arial" w:eastAsia="Arial" w:hAnsi="Arial" w:cs="Arial"/>
          <w:b w:val="0"/>
          <w:sz w:val="24"/>
          <w:u w:val="none"/>
          <w:lang w:val="cy-GB"/>
        </w:rPr>
        <w:tab/>
      </w:r>
      <w:r>
        <w:rPr>
          <w:noProof/>
        </w:rPr>
        <w:drawing>
          <wp:inline distT="0" distB="0" distL="0" distR="0" wp14:anchorId="5278DEF2" wp14:editId="020DD2E5">
            <wp:extent cx="914209" cy="621665"/>
            <wp:effectExtent l="0" t="0" r="0" b="0"/>
            <wp:docPr id="647" name="Picture 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08274" name="Picture 6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209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sz w:val="24"/>
          <w:u w:val="none"/>
          <w:lang w:val="cy-GB"/>
        </w:rPr>
        <w:t xml:space="preserve"> </w:t>
      </w:r>
    </w:p>
    <w:sectPr w:rsidR="005B676A">
      <w:footerReference w:type="even" r:id="rId18"/>
      <w:footerReference w:type="default" r:id="rId19"/>
      <w:footerReference w:type="first" r:id="rId20"/>
      <w:pgSz w:w="11906" w:h="16838"/>
      <w:pgMar w:top="726" w:right="1758" w:bottom="1202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72D70" w14:textId="77777777" w:rsidR="000E6900" w:rsidRDefault="000E6900">
      <w:pPr>
        <w:spacing w:line="240" w:lineRule="auto"/>
      </w:pPr>
      <w:r>
        <w:separator/>
      </w:r>
    </w:p>
  </w:endnote>
  <w:endnote w:type="continuationSeparator" w:id="0">
    <w:p w14:paraId="55871F9C" w14:textId="77777777" w:rsidR="000E6900" w:rsidRDefault="000E6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622C8" w14:textId="77777777" w:rsidR="005B676A" w:rsidRDefault="000E6900">
    <w:pPr>
      <w:spacing w:line="233" w:lineRule="auto"/>
      <w:ind w:right="8451"/>
      <w:jc w:val="left"/>
    </w:pPr>
    <w:r>
      <w:rPr>
        <w:rFonts w:ascii="Arial" w:eastAsia="Arial" w:hAnsi="Arial" w:cs="Arial"/>
        <w:b w:val="0"/>
        <w:sz w:val="18"/>
        <w:u w:val="none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4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BF1B" w14:textId="77777777" w:rsidR="005B676A" w:rsidRDefault="000E6900">
    <w:pPr>
      <w:spacing w:line="233" w:lineRule="auto"/>
      <w:ind w:right="8451"/>
      <w:jc w:val="left"/>
    </w:pPr>
    <w:r>
      <w:rPr>
        <w:rFonts w:ascii="Arial" w:eastAsia="Arial" w:hAnsi="Arial" w:cs="Arial"/>
        <w:b w:val="0"/>
        <w:sz w:val="18"/>
        <w:u w:val="none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4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D7DB" w14:textId="77777777" w:rsidR="005B676A" w:rsidRDefault="000E6900">
    <w:pPr>
      <w:spacing w:line="233" w:lineRule="auto"/>
      <w:ind w:right="8451"/>
      <w:jc w:val="left"/>
    </w:pPr>
    <w:r>
      <w:rPr>
        <w:rFonts w:ascii="Arial" w:eastAsia="Arial" w:hAnsi="Arial" w:cs="Arial"/>
        <w:b w:val="0"/>
        <w:sz w:val="18"/>
        <w:u w:val="none"/>
        <w:lang w:val="cy-GB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1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18"/>
        <w:u w:val="none"/>
        <w:lang w:val="cy-GB"/>
      </w:rPr>
      <w:t xml:space="preserve"> o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Cs/>
        <w:sz w:val="18"/>
        <w:u w:val="none"/>
      </w:rPr>
      <w:t>4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b w:val="0"/>
        <w:sz w:val="20"/>
        <w:u w:val="none"/>
        <w:lang w:val="cy-GB"/>
      </w:rPr>
      <w:t xml:space="preserve"> </w:t>
    </w:r>
    <w:r>
      <w:rPr>
        <w:rFonts w:ascii="Arial" w:eastAsia="Arial" w:hAnsi="Arial" w:cs="Arial"/>
        <w:b w:val="0"/>
        <w:sz w:val="24"/>
        <w:u w:val="none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74A53" w14:textId="77777777" w:rsidR="000E6900" w:rsidRDefault="000E6900">
      <w:pPr>
        <w:spacing w:line="240" w:lineRule="auto"/>
      </w:pPr>
      <w:r>
        <w:separator/>
      </w:r>
    </w:p>
  </w:footnote>
  <w:footnote w:type="continuationSeparator" w:id="0">
    <w:p w14:paraId="06502F2D" w14:textId="77777777" w:rsidR="000E6900" w:rsidRDefault="000E6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B7381"/>
    <w:multiLevelType w:val="hybridMultilevel"/>
    <w:tmpl w:val="F35005FA"/>
    <w:lvl w:ilvl="0" w:tplc="271830AC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4EE8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E105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C491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AEF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A8F9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ACEE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2F77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2DFA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D07D41"/>
    <w:multiLevelType w:val="hybridMultilevel"/>
    <w:tmpl w:val="E57A2BD6"/>
    <w:lvl w:ilvl="0" w:tplc="CA6E595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2E29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EB09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0F9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2B91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C541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2AAD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022CA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0441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2D3D4E"/>
    <w:multiLevelType w:val="hybridMultilevel"/>
    <w:tmpl w:val="0DCCC31A"/>
    <w:lvl w:ilvl="0" w:tplc="96E2D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6AADE">
      <w:start w:val="1"/>
      <w:numFmt w:val="bullet"/>
      <w:lvlText w:val="o"/>
      <w:lvlJc w:val="left"/>
      <w:pPr>
        <w:ind w:left="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CB7C4">
      <w:start w:val="1"/>
      <w:numFmt w:val="bullet"/>
      <w:lvlRestart w:val="0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C5F44">
      <w:start w:val="1"/>
      <w:numFmt w:val="bullet"/>
      <w:lvlText w:val="•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C7E90">
      <w:start w:val="1"/>
      <w:numFmt w:val="bullet"/>
      <w:lvlText w:val="o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2A5A8">
      <w:start w:val="1"/>
      <w:numFmt w:val="bullet"/>
      <w:lvlText w:val="▪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E34F0">
      <w:start w:val="1"/>
      <w:numFmt w:val="bullet"/>
      <w:lvlText w:val="•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FAA2">
      <w:start w:val="1"/>
      <w:numFmt w:val="bullet"/>
      <w:lvlText w:val="o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0A52E">
      <w:start w:val="1"/>
      <w:numFmt w:val="bullet"/>
      <w:lvlText w:val="▪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130C1F"/>
    <w:multiLevelType w:val="hybridMultilevel"/>
    <w:tmpl w:val="445A8580"/>
    <w:lvl w:ilvl="0" w:tplc="FA3EE1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6970C">
      <w:start w:val="1"/>
      <w:numFmt w:val="bullet"/>
      <w:lvlText w:val="o"/>
      <w:lvlJc w:val="left"/>
      <w:pPr>
        <w:ind w:left="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6D2AA">
      <w:start w:val="1"/>
      <w:numFmt w:val="bullet"/>
      <w:lvlRestart w:val="0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E1E4E">
      <w:start w:val="1"/>
      <w:numFmt w:val="bullet"/>
      <w:lvlText w:val="•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636A8">
      <w:start w:val="1"/>
      <w:numFmt w:val="bullet"/>
      <w:lvlText w:val="o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4169E">
      <w:start w:val="1"/>
      <w:numFmt w:val="bullet"/>
      <w:lvlText w:val="▪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E252C">
      <w:start w:val="1"/>
      <w:numFmt w:val="bullet"/>
      <w:lvlText w:val="•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463FC">
      <w:start w:val="1"/>
      <w:numFmt w:val="bullet"/>
      <w:lvlText w:val="o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6DE16">
      <w:start w:val="1"/>
      <w:numFmt w:val="bullet"/>
      <w:lvlText w:val="▪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5000293">
    <w:abstractNumId w:val="0"/>
  </w:num>
  <w:num w:numId="2" w16cid:durableId="1605188900">
    <w:abstractNumId w:val="1"/>
  </w:num>
  <w:num w:numId="3" w16cid:durableId="863791268">
    <w:abstractNumId w:val="2"/>
  </w:num>
  <w:num w:numId="4" w16cid:durableId="1254705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6A"/>
    <w:rsid w:val="000756DB"/>
    <w:rsid w:val="000845BD"/>
    <w:rsid w:val="000E6900"/>
    <w:rsid w:val="0016219B"/>
    <w:rsid w:val="00247F87"/>
    <w:rsid w:val="0025714D"/>
    <w:rsid w:val="00277AD2"/>
    <w:rsid w:val="00315893"/>
    <w:rsid w:val="00481B68"/>
    <w:rsid w:val="004905CC"/>
    <w:rsid w:val="005B676A"/>
    <w:rsid w:val="007626FD"/>
    <w:rsid w:val="008374D1"/>
    <w:rsid w:val="00A0322C"/>
    <w:rsid w:val="00BA135C"/>
    <w:rsid w:val="00D11EEE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E618"/>
  <w15:docId w15:val="{B3CEAD9B-1BA4-4848-AC5B-0B9E52AC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9" w:lineRule="auto"/>
      <w:ind w:right="1124"/>
      <w:jc w:val="right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7F87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swansea.ac.uk/welsh-language-standards/compliance/recruitmen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wansea.ac.uk/cy/safonaur-gymraeg/cydymffurfio/recriwtio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ansea.ac.uk/the-university/values/professional-services-valu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swansea.ac.uk/cy/swyddi-yn-abertawe/gwybodaeth-i-ymgeiswyr/gwerthoedd-gwasanaeth-proffesiyno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wansea.ac.uk/the-university/values/professional-services-values/" TargetMode="External"/><Relationship Id="rId14" Type="http://schemas.openxmlformats.org/officeDocument/2006/relationships/hyperlink" Target="mailto:n.s.roberts@swansea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Huw Portway</cp:lastModifiedBy>
  <cp:revision>10</cp:revision>
  <dcterms:created xsi:type="dcterms:W3CDTF">2024-04-24T10:38:00Z</dcterms:created>
  <dcterms:modified xsi:type="dcterms:W3CDTF">2024-05-08T10:37:00Z</dcterms:modified>
</cp:coreProperties>
</file>