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9A3E00" w:rsidRPr="00821A14" w:rsidP="00821A14" w14:paraId="28802905" w14:textId="27F1D6C9">
      <w:pPr>
        <w:pStyle w:val="BodyTextIndent"/>
        <w:bidi w:val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21A14">
        <w:rPr>
          <w:rFonts w:ascii="Calibri" w:hAnsi="Calibri" w:cstheme="minorHAnsi"/>
          <w:b/>
          <w:bCs/>
          <w:sz w:val="24"/>
          <w:szCs w:val="24"/>
          <w:u w:val="none"/>
          <w:rtl w:val="0"/>
          <w:lang w:val="cy-GB"/>
        </w:rPr>
        <w:t>Disgrifiad Swydd - Tiwtor Troseddeg</w:t>
      </w:r>
      <w:r w:rsidRPr="00821A14">
        <w:rPr>
          <w:rFonts w:ascii="Calibri" w:hAnsi="Calibri" w:cstheme="minorHAnsi"/>
          <w:b w:val="0"/>
          <w:sz w:val="24"/>
          <w:szCs w:val="24"/>
          <w:u w:val="none"/>
          <w:rtl w:val="0"/>
          <w:lang w:val="cy-GB"/>
        </w:rPr>
        <w:t xml:space="preserve"> </w:t>
      </w:r>
    </w:p>
    <w:p w:rsidR="009A3E00" w:rsidRPr="00821A14" w:rsidP="00821A14" w14:paraId="57B26B66" w14:textId="77777777">
      <w:pPr>
        <w:pStyle w:val="BodyTextIndent"/>
        <w:bidi w:val="0"/>
        <w:ind w:left="0" w:firstLine="0"/>
        <w:jc w:val="left"/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747870C4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821A14" w:rsidP="00821A14" w14:paraId="72CF05F0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21A14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Cyfadran:</w:t>
            </w:r>
          </w:p>
        </w:tc>
        <w:tc>
          <w:tcPr>
            <w:tcW w:w="8364" w:type="dxa"/>
          </w:tcPr>
          <w:p w:rsidR="009A3E00" w:rsidRPr="00821A14" w:rsidP="00821A14" w14:paraId="0B23B8E2" w14:textId="7CD548F3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bCs/>
                <w:iCs/>
              </w:rPr>
            </w:pPr>
            <w:r w:rsidRPr="00821A14">
              <w:rPr>
                <w:rFonts w:ascii="Calibri" w:hAnsi="Calibri" w:cstheme="minorHAnsi"/>
                <w:b/>
                <w:bCs/>
                <w:iCs/>
                <w:rtl w:val="0"/>
                <w:lang w:val="cy-GB"/>
              </w:rPr>
              <w:t>Cyfadran y Dyniaethau a'r Gwyddorau Cymdeithasol</w:t>
            </w:r>
          </w:p>
        </w:tc>
      </w:tr>
      <w:tr w14:paraId="60A2BEB2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821A14" w:rsidP="00821A14" w14:paraId="4B8B180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21A14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9A3E00" w:rsidRPr="00821A14" w:rsidP="00821A14" w14:paraId="32256BBB" w14:textId="4C12AC38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bCs/>
                <w:iCs/>
              </w:rPr>
            </w:pPr>
            <w:r w:rsidRPr="00821A14">
              <w:rPr>
                <w:rFonts w:ascii="Calibri" w:hAnsi="Calibri" w:cstheme="minorHAnsi"/>
                <w:b/>
                <w:bCs/>
                <w:iCs/>
                <w:rtl w:val="0"/>
                <w:lang w:val="cy-GB"/>
              </w:rPr>
              <w:t>Yr Adran Troseddeg, Cymdeithaseg a Pholisi Cymdeithasol</w:t>
            </w:r>
          </w:p>
        </w:tc>
      </w:tr>
      <w:tr w14:paraId="604B5543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821A14" w:rsidP="00821A14" w14:paraId="5E7AA3B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21A14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9A3E00" w:rsidRPr="00821A14" w:rsidP="00821A14" w14:paraId="21E81A72" w14:textId="7B573106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bCs/>
                <w:iCs/>
              </w:rPr>
            </w:pPr>
            <w:r w:rsidRPr="00821A14">
              <w:rPr>
                <w:rFonts w:ascii="Calibri" w:hAnsi="Calibri" w:cstheme="minorHAnsi"/>
                <w:b/>
                <w:bCs/>
                <w:iCs/>
                <w:rtl w:val="0"/>
                <w:lang w:val="cy-GB"/>
              </w:rPr>
              <w:t xml:space="preserve">£32,982 i £37,099 y flwyddyn, ynghyd â buddion pensiwn USS </w:t>
            </w:r>
          </w:p>
        </w:tc>
      </w:tr>
      <w:tr w14:paraId="4081C96D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821A14" w:rsidP="00821A14" w14:paraId="4512E0F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21A14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9A3E00" w:rsidRPr="00821A14" w:rsidP="00821A14" w14:paraId="004DB768" w14:textId="27F348E4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bCs/>
                <w:iCs/>
              </w:rPr>
            </w:pPr>
            <w:r w:rsidRPr="00821A14">
              <w:rPr>
                <w:rFonts w:ascii="Calibri" w:hAnsi="Calibri" w:cstheme="minorHAnsi"/>
                <w:b/>
                <w:bCs/>
                <w:iCs/>
                <w:rtl w:val="0"/>
                <w:lang w:val="cy-GB"/>
              </w:rPr>
              <w:t>5 niwrnod yr wythnos / 100% CALl</w:t>
            </w:r>
          </w:p>
        </w:tc>
      </w:tr>
      <w:tr w14:paraId="3A29260D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821A14" w:rsidP="00821A14" w14:paraId="4E1940B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21A14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9A3E00" w:rsidRPr="00821A14" w:rsidP="00821A14" w14:paraId="39D4F78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bCs/>
                <w:iCs/>
              </w:rPr>
            </w:pPr>
            <w:r w:rsidRPr="00821A14">
              <w:rPr>
                <w:rFonts w:ascii="Calibri" w:hAnsi="Calibri" w:cstheme="minorHAnsi"/>
                <w:b/>
                <w:bCs/>
                <w:iCs/>
                <w:rtl w:val="0"/>
                <w:lang w:val="cy-GB"/>
              </w:rPr>
              <w:t>1</w:t>
            </w:r>
          </w:p>
        </w:tc>
      </w:tr>
      <w:tr w14:paraId="1B782433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821A14" w:rsidP="00821A14" w14:paraId="57A58E0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21A14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Con</w:t>
            </w:r>
            <w:r w:rsidRPr="00821A14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tract:</w:t>
            </w:r>
          </w:p>
        </w:tc>
        <w:tc>
          <w:tcPr>
            <w:tcW w:w="8364" w:type="dxa"/>
          </w:tcPr>
          <w:p w:rsidR="009A3E00" w:rsidRPr="00821A14" w:rsidP="00821A14" w14:paraId="05474D96" w14:textId="14F6F778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bCs/>
                <w:iCs/>
              </w:rPr>
            </w:pPr>
            <w:r w:rsidRPr="00821A14">
              <w:rPr>
                <w:rFonts w:ascii="Calibri" w:hAnsi="Calibri" w:cstheme="minorHAnsi"/>
                <w:b/>
                <w:bCs/>
                <w:iCs/>
                <w:rtl w:val="0"/>
                <w:lang w:val="cy-GB"/>
              </w:rPr>
              <w:t xml:space="preserve">Swydd barhaol yw hon </w:t>
            </w:r>
          </w:p>
        </w:tc>
      </w:tr>
      <w:tr w14:paraId="025826F2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821A14" w:rsidP="00821A14" w14:paraId="6B116E8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21A14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9A3E00" w:rsidRPr="00821A14" w:rsidP="00821A14" w14:paraId="16CAEFA4" w14:textId="165A42DF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bCs/>
                <w:iCs/>
              </w:rPr>
            </w:pPr>
            <w:r w:rsidRPr="00821A14">
              <w:rPr>
                <w:rFonts w:ascii="Calibri" w:hAnsi="Calibri" w:cstheme="minorHAnsi"/>
                <w:b/>
                <w:bCs/>
                <w:iCs/>
                <w:rtl w:val="0"/>
                <w:lang w:val="cy-GB"/>
              </w:rPr>
              <w:t>Bydd deiliad y swydd hon yn gweithio ar Gampws Parc Singleton</w:t>
            </w:r>
          </w:p>
        </w:tc>
      </w:tr>
    </w:tbl>
    <w:p w:rsidR="009A3E00" w:rsidRPr="00821A14" w:rsidP="00821A14" w14:paraId="0ADAC684" w14:textId="77777777">
      <w:pPr>
        <w:bidi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7B3ABC12" w14:textId="77777777" w:rsidTr="00C44801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A3E00" w:rsidRPr="00821A14" w:rsidP="00821A14" w14:paraId="05FE7D11" w14:textId="77777777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1A14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 xml:space="preserve">Prif Ddiben y Swydd: </w:t>
            </w:r>
          </w:p>
          <w:p w:rsidR="009A3E00" w:rsidRPr="00821A14" w:rsidP="00821A14" w14:paraId="0F10A7BF" w14:textId="77777777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9A3E00" w:rsidRPr="00821A14" w:rsidP="00821A14" w14:paraId="0D0005E9" w14:textId="24774DD4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Mae'r swydd yn gofyn am gyfrannu at ddarparu addysgu ac asesu a goruchwylio myfyrwyr Troseddeg, Cymdeithaseg a Pholisi Cymdeithasol ar lefel israddedig ac ôl-raddedig, ac ar draws y Gyfadran pan fo angen, yn ogystal â rhannu cyfrifoldebau gweinyddol trefniadol ac academaidd. Mae'r swydd hon yn gofyn am ddarparu dysgu ac addysgu myfyrwyr o ansawdd uchel, ac ymrwymiad i wella profiad y myfyrwyr yn gyffredinol.</w:t>
            </w:r>
          </w:p>
          <w:p w:rsidR="009A3E00" w:rsidRPr="00821A14" w:rsidP="00821A14" w14:paraId="2CB6C89B" w14:textId="6711DADE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05E3E496" w14:textId="77777777" w:rsidTr="00C44801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A3E00" w:rsidRPr="00821A14" w:rsidP="00821A14" w14:paraId="174DEF9C" w14:textId="77777777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1A14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9A3E00" w:rsidRPr="00821A14" w:rsidP="00821A14" w14:paraId="23EDEAE5" w14:textId="77777777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Addysgu fel aelod o dîm addysgu datblygol, ar raglen sefydledig mewn amrywiaeth o sefyllfaoedd o diwtorialau grŵp bach i ddarlith fawr.  Trosglwyddo gwybodaeth ar ffurf sgiliau, dulliau, a thechnegau ymarferol, gyda chymorth mentor os bydd angen; herio dulliau meddwl; meithrin trafodaeth; a datblygu gallu myfyrwyr i drafod yn feirniadol ac i feddwl yn rhesymol.</w:t>
            </w:r>
          </w:p>
          <w:p w:rsidR="009A3E00" w:rsidRPr="00821A14" w:rsidP="00821A14" w14:paraId="79592802" w14:textId="77777777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Datblygu ei ddeunyddiau, ei ddulliau a’i ymagweddau addysgu ei hun, a dewis dulliau a meini prawf asesu addas gyda chymorth; Ceisio ffyrdd o wella perfformiad trwy fyfyrio ar ddyluniad a chyflwyniad yr addysgu, a thrwy gasglu a dadansoddi adborth.  Myfyrio ar ymarfer ac ar ddatblygiad eich sgiliau dysgu ac addysgu eich hun.</w:t>
            </w:r>
          </w:p>
          <w:p w:rsidR="009A3E00" w:rsidRPr="00821A14" w:rsidP="00821A14" w14:paraId="6C60C63E" w14:textId="77777777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 xml:space="preserve">Nodi anghenion dysgu myfyrwyr, diffinio amcanion dysgu addas, darparu adborth adeiladol i fyfyrwyr fel bo angen, darparu cyngor ar sgiliau astudio, a helpu gyda phroblemau dysgu.                </w:t>
            </w:r>
          </w:p>
          <w:p w:rsidR="009A3E00" w:rsidRPr="00821A14" w:rsidP="00821A14" w14:paraId="57A2198E" w14:textId="77777777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Yn ogystal ag addysgu yn ôl yr angen ar fodiwlau sydd wedi'u datblygu eisoes, bydd y Tiwtor yn adolygu’r modiwlau yn unol ag anghenion dysgu'r myfyrwyr, yn diffinio amcanion dysgu, ac yn cynllunio neu'n dewis dulliau asesu priodol.</w:t>
            </w:r>
          </w:p>
          <w:p w:rsidR="009A3E00" w:rsidRPr="00821A14" w:rsidP="00821A14" w14:paraId="00BB3F1F" w14:textId="77777777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Rhyngweithio'n gadarnhaol ac yn broffesiynol â chydweithredwyr a phartneriaid eraill yn yr adran, mewn mannau eraill yn y Brifysgol a'r tu hwnt, ym myd diwydiant/masnach ac yn y byd academaidd.</w:t>
            </w:r>
          </w:p>
          <w:p w:rsidR="009A3E00" w:rsidRPr="00821A14" w:rsidP="00821A14" w14:paraId="2A713645" w14:textId="333CB2A9">
            <w:pPr>
              <w:pStyle w:val="BodyText"/>
              <w:numPr>
                <w:ilvl w:val="0"/>
                <w:numId w:val="10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 xml:space="preserve">Bod yn ymwybodol o ddatblygiadau yn y maes o safbwynt technegol/penodol a'r maes pwnc ehangach a'r goblygiadau ar gyfer cymwysiadau masnachol/proffesiynol a'r economi wybodaeth neu'r byd academaidd. </w:t>
            </w:r>
          </w:p>
          <w:p w:rsidR="009A3E00" w:rsidRPr="00821A14" w:rsidP="00821A14" w14:paraId="543BBCC6" w14:textId="77777777">
            <w:pPr>
              <w:pStyle w:val="BodyText"/>
              <w:numPr>
                <w:ilvl w:val="0"/>
                <w:numId w:val="10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Meithrin cysylltiadau mewnol, a chymryd rhan mewn rhwydweithiau mewnol, er mwyn cyfnewid gwybodaeth a meithrin perthnasoedd ar gyfer cydweithrediadau yn y dyfodol.</w:t>
            </w:r>
          </w:p>
          <w:p w:rsidR="009A3E00" w:rsidRPr="00821A14" w:rsidP="00821A14" w14:paraId="12C5D6C1" w14:textId="77777777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Cymryd rhan mewn gweithgareddau ymchwil neu weinyddol eraill sy'n briodol i'ch profiad a'ch sgiliau ac ymgymryd â'r rhain.</w:t>
            </w:r>
          </w:p>
          <w:p w:rsidR="009A3E00" w:rsidRPr="00821A14" w:rsidP="00821A14" w14:paraId="4ACC6B9A" w14:textId="77777777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9A3E00" w:rsidRPr="00821A14" w:rsidP="00821A14" w14:paraId="1F48C358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9A3E00" w:rsidRPr="00821A14" w:rsidP="00821A14" w14:paraId="457ADCFD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Cyflawni rôl a holl weithgareddau'r swydd yn unol â systemau rheoli a pholisïau diogelwch, iechyd a chynaliadwyedd, er mwyn lleihau’r risgiau a’r effeithiau sy’n deillio o weithgarwch y swydd.</w:t>
            </w:r>
          </w:p>
          <w:p w:rsidR="009A3E00" w:rsidRPr="00821A14" w:rsidP="00821A14" w14:paraId="157C9D78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21A1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9A3E00" w:rsidRPr="00821A14" w:rsidP="00821A14" w14:paraId="68B1C9FA" w14:textId="77777777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Unrhyw ddyletswyddau eraill y mae'r Gyfadran/y Gyfarwyddiaeth/y Maes Gwasanaeth wedi cytuno arnynt.</w:t>
            </w:r>
          </w:p>
          <w:p w:rsidR="009A3E00" w:rsidRPr="00821A14" w:rsidP="00821A14" w14:paraId="5C88C469" w14:textId="481F9773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9A3E00" w:rsidP="00821A14" w14:paraId="12C50C50" w14:textId="77777777">
      <w:pPr>
        <w:bidi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821A14" w:rsidP="00821A14" w14:paraId="2EA46E99" w14:textId="77777777">
      <w:pPr>
        <w:bidi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821A14" w:rsidP="00821A14" w14:paraId="5B13BFA2" w14:textId="77777777">
      <w:pPr>
        <w:bidi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821A14" w:rsidP="00821A14" w14:paraId="12216C64" w14:textId="77777777">
      <w:pPr>
        <w:bidi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821A14" w:rsidP="00821A14" w14:paraId="0C425A1E" w14:textId="77777777">
      <w:pPr>
        <w:bidi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821A14" w:rsidRPr="00821A14" w:rsidP="00821A14" w14:paraId="3F2615FF" w14:textId="77777777">
      <w:pPr>
        <w:bidi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0916"/>
      </w:tblGrid>
      <w:tr w14:paraId="46F44581" w14:textId="77777777" w:rsidTr="00C44801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shd w:val="clear" w:color="auto" w:fill="242F60"/>
            <w:hideMark/>
          </w:tcPr>
          <w:p w:rsidR="009A3E00" w:rsidRPr="00821A14" w:rsidP="00821A14" w14:paraId="2C7606EC" w14:textId="77777777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1A14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Meini Prawf y Fanyleb Person</w:t>
            </w:r>
          </w:p>
        </w:tc>
      </w:tr>
      <w:tr w14:paraId="44A9CB17" w14:textId="77777777" w:rsidTr="009E635E">
        <w:tblPrEx>
          <w:tblW w:w="10916" w:type="dxa"/>
          <w:tblInd w:w="-176" w:type="dxa"/>
          <w:tblLayout w:type="fixed"/>
          <w:tblLook w:val="04A0"/>
        </w:tblPrEx>
        <w:trPr>
          <w:trHeight w:val="3473"/>
        </w:trPr>
        <w:tc>
          <w:tcPr>
            <w:tcW w:w="10916" w:type="dxa"/>
          </w:tcPr>
          <w:p w:rsidR="009E635E" w:rsidRPr="00821A14" w:rsidP="00821A14" w14:paraId="08CC86EF" w14:textId="47BD432D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bCs w:val="0"/>
                <w:sz w:val="20"/>
                <w:szCs w:val="20"/>
                <w:rtl w:val="0"/>
                <w:lang w:val="cy-GB"/>
              </w:rPr>
              <w:t>Gradd neu gymhwyster cyfwerth mewn Troseddeg, Cymdeithaseg neu Bolisi Cymdeithasol neu bwnc cysylltiedig (e.e. y Gwyddorau Cymdeithasol, Seicoleg y Gyfraith)</w:t>
            </w:r>
          </w:p>
          <w:p w:rsidR="009E635E" w:rsidRPr="00821A14" w:rsidP="00821A14" w14:paraId="2961403D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Dangos y gallu i addysgu a goruchwylio myfyrwyr yn llwyddiannus</w:t>
            </w:r>
          </w:p>
          <w:p w:rsidR="009E635E" w:rsidRPr="00821A14" w:rsidP="00821A14" w14:paraId="12EA2D98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  <w:bidi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  <w:rtl w:val="0"/>
                <w:lang w:val="cy-GB"/>
              </w:rPr>
              <w:t>Sgiliau trefnu ardderchog i gynllunio gweithgareddau o ddydd i ddydd o fewn fframwaith y rhaglen y cytunwyd arni</w:t>
            </w:r>
          </w:p>
          <w:p w:rsidR="009E635E" w:rsidRPr="00821A14" w:rsidP="00821A14" w14:paraId="3CE3D3FF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bCs w:val="0"/>
                <w:sz w:val="20"/>
                <w:szCs w:val="20"/>
                <w:rtl w:val="0"/>
                <w:lang w:val="cy-GB"/>
              </w:rPr>
              <w:t>Gweithio fel aelod effeithiol o'r staff addysgu a chyfrannu at raglenni addysgu ar y cyd â chydweithwyr</w:t>
            </w:r>
          </w:p>
          <w:p w:rsidR="009E635E" w:rsidRPr="00821A14" w:rsidP="00821A14" w14:paraId="0B48A4D2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bCs w:val="0"/>
                <w:sz w:val="20"/>
                <w:szCs w:val="20"/>
                <w:rtl w:val="0"/>
                <w:lang w:val="cy-GB"/>
              </w:rPr>
              <w:t xml:space="preserve">Bod â digon o wybodaeth arbenigol helaeth yn y ddisgyblaeth a datblygu sgiliau o ran dulliau a thechnegau addysgu, a bod â gwybodaeth amdanynt </w:t>
            </w:r>
          </w:p>
          <w:p w:rsidR="009E635E" w:rsidRPr="00821A14" w:rsidP="00821A14" w14:paraId="7CE7D531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Tystiolaeth o'r gallu i addysgu neu oruchwylio myfyrwyr yn llwyddiannus, a'r gallu i gyflawni sgorau uchel mewn adborth ar fodiwlau yn ôl y disgwyl </w:t>
            </w:r>
          </w:p>
          <w:p w:rsidR="009E635E" w:rsidRPr="00821A14" w:rsidP="00821A14" w14:paraId="64EAAEE3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1A14">
              <w:rPr>
                <w:rFonts w:eastAsia="Times New Roman" w:asciiTheme="minorHAnsi" w:hAnsiTheme="minorHAnsi" w:cstheme="minorHAnsi"/>
                <w:sz w:val="20"/>
                <w:szCs w:val="20"/>
                <w:rtl w:val="0"/>
                <w:lang w:val="cy-GB"/>
              </w:rPr>
              <w:t>Y gallu i gyfleu'r pwnc i gynulleidfa o fyfyrwyr a chynulleidfa academaidd</w:t>
            </w:r>
          </w:p>
          <w:p w:rsidR="009E635E" w:rsidRPr="00821A14" w:rsidP="00821A14" w14:paraId="1A441E7F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color w:val="000000"/>
                <w:sz w:val="20"/>
                <w:szCs w:val="20"/>
                <w:rtl w:val="0"/>
                <w:lang w:val="cy-GB"/>
              </w:rPr>
              <w:t>Ymrwymiad i amgylchedd dysgu sy'n canolbwyntio ar y myfyrwyr</w:t>
            </w:r>
          </w:p>
          <w:p w:rsidR="009E635E" w:rsidRPr="00821A14" w:rsidP="00821A14" w14:paraId="241B416D" w14:textId="4252B46B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Ymrwymiad i ddatblygiad proffesiynol parhaus</w:t>
            </w:r>
          </w:p>
        </w:tc>
      </w:tr>
      <w:tr w14:paraId="698BD406" w14:textId="77777777" w:rsidTr="0026370D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shd w:val="clear" w:color="auto" w:fill="242F60"/>
            <w:hideMark/>
          </w:tcPr>
          <w:p w:rsidR="009E635E" w:rsidRPr="00821A14" w:rsidP="00821A14" w14:paraId="48907957" w14:textId="77777777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1A14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Meini Prawf Dymunol</w:t>
            </w:r>
          </w:p>
        </w:tc>
      </w:tr>
      <w:tr w14:paraId="404140D5" w14:textId="77777777" w:rsidTr="0026370D">
        <w:tblPrEx>
          <w:tblW w:w="10916" w:type="dxa"/>
          <w:tblInd w:w="-176" w:type="dxa"/>
          <w:tblLayout w:type="fixed"/>
          <w:tblLook w:val="04A0"/>
        </w:tblPrEx>
        <w:trPr>
          <w:trHeight w:val="666"/>
        </w:trPr>
        <w:tc>
          <w:tcPr>
            <w:tcW w:w="10916" w:type="dxa"/>
          </w:tcPr>
          <w:p w:rsidR="009E635E" w:rsidRPr="00821A14" w:rsidP="00821A14" w14:paraId="3451C6B8" w14:textId="0180E655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Dd/B</w:t>
            </w:r>
          </w:p>
        </w:tc>
      </w:tr>
      <w:tr w14:paraId="03514033" w14:textId="77777777" w:rsidTr="00C44801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shd w:val="clear" w:color="auto" w:fill="242F60"/>
          </w:tcPr>
          <w:p w:rsidR="009A3E00" w:rsidRPr="00821A14" w:rsidP="00821A14" w14:paraId="2124294D" w14:textId="24272F24">
            <w:pPr>
              <w:bidi w:val="0"/>
              <w:spacing w:line="240" w:lineRule="auto"/>
              <w:rPr>
                <w:rFonts w:eastAsia="Times New Roman" w:asciiTheme="minorHAnsi" w:hAnsiTheme="minorHAnsi" w:cstheme="minorHAnsi"/>
                <w:i/>
                <w:color w:val="FFFFFF" w:themeColor="background1"/>
                <w:sz w:val="20"/>
                <w:szCs w:val="20"/>
              </w:rPr>
            </w:pPr>
            <w:r w:rsidRPr="00821A14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Iaith Gymraeg:</w:t>
            </w:r>
          </w:p>
        </w:tc>
      </w:tr>
      <w:tr w14:paraId="482E010B" w14:textId="77777777" w:rsidTr="00FE3B9B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99205344"/>
              <w:placeholder>
                <w:docPart w:val="05A805045F0C43D981445E6077D4BE87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9E635E" w:rsidRPr="00821A14" w:rsidP="00821A14" w14:paraId="466F7976" w14:textId="2C8A7444">
                <w:pPr>
                  <w:bidi w:val="0"/>
                  <w:spacing w:before="0" w:after="0" w:line="240" w:lineRule="auto"/>
                  <w:rPr>
                    <w:rFonts w:asciiTheme="minorHAnsi" w:eastAsiaTheme="minorHAnsi" w:hAnsiTheme="minorHAnsi" w:cstheme="minorHAnsi"/>
                    <w:sz w:val="20"/>
                    <w:szCs w:val="20"/>
                    <w:lang w:val="en-US" w:eastAsia="en-US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C44801" w:rsidRPr="00821A14" w:rsidP="00821A14" w14:paraId="140D949F" w14:textId="77777777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3E00" w:rsidRPr="00821A14" w:rsidP="00821A14" w14:paraId="26F60BC3" w14:textId="62E55C2A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1A1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821A14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821A1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</w:tbl>
    <w:p w:rsidR="009A3E00" w:rsidRPr="009E635E" w:rsidP="009A3E00" w14:paraId="212CFE3C" w14:textId="77777777">
      <w:pPr>
        <w:bidi w:val="0"/>
        <w:spacing w:before="100" w:beforeAutospacing="1" w:after="100" w:afterAutospacing="1"/>
        <w:ind w:firstLine="720"/>
        <w:rPr>
          <w:sz w:val="20"/>
          <w:szCs w:val="20"/>
        </w:rPr>
      </w:pPr>
      <w:r w:rsidRPr="009E635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38100</wp:posOffset>
            </wp:positionV>
            <wp:extent cx="914400" cy="621665"/>
            <wp:effectExtent l="0" t="0" r="0" b="6985"/>
            <wp:wrapSquare wrapText="bothSides"/>
            <wp:docPr id="162663147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32448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35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222885</wp:posOffset>
            </wp:positionV>
            <wp:extent cx="1190625" cy="771525"/>
            <wp:effectExtent l="0" t="0" r="9525" b="9525"/>
            <wp:wrapNone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455425" name="Picture 5" descr="Athena SWAN Charter Silver Award logo 2017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35E">
        <w:rPr>
          <w:sz w:val="20"/>
          <w:szCs w:val="20"/>
          <w:rtl w:val="0"/>
          <w:lang w:val="cy-GB"/>
        </w:rPr>
        <w:tab/>
        <w:tab/>
        <w:tab/>
        <w:tab/>
        <w:tab/>
      </w:r>
      <w:r w:rsidRPr="009E635E">
        <w:rPr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69149839" name="Picture 169149839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71016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35E">
        <w:rPr>
          <w:sz w:val="20"/>
          <w:szCs w:val="20"/>
          <w:rtl w:val="0"/>
          <w:lang w:val="cy-GB"/>
        </w:rPr>
        <w:tab/>
      </w:r>
    </w:p>
    <w:p w:rsidR="00EB060B" w:rsidRPr="009E635E" w:rsidP="008E75E6" w14:paraId="1FE162A5" w14:textId="35771FE9">
      <w:pPr>
        <w:bidi w:val="0"/>
        <w:rPr>
          <w:sz w:val="20"/>
          <w:szCs w:val="20"/>
        </w:rPr>
      </w:pPr>
    </w:p>
    <w:sectPr w:rsidSect="00821A14">
      <w:headerReference w:type="default" r:id="rId11"/>
      <w:footerReference w:type="default" r:id="rId12"/>
      <w:pgSz w:w="11900" w:h="16840"/>
      <w:pgMar w:top="99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400EE09-1CEC-4988-9963-C94779F1BB66}"/>
    <w:embedBold r:id="rId2" w:subsetted="1" w:fontKey="{DB68370F-9253-4326-BFAD-0AF9F762A99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subsetted="1" w:fontKey="{8A5D866B-5206-4B3B-94A3-F92692C46A2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1776789773" name="Picture 177678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1282841587" name="Picture 1282841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956C8"/>
    <w:multiLevelType w:val="hybridMultilevel"/>
    <w:tmpl w:val="0E6A7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B64C5B"/>
    <w:multiLevelType w:val="hybridMultilevel"/>
    <w:tmpl w:val="3A1485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1028F"/>
    <w:rsid w:val="0001059E"/>
    <w:rsid w:val="00012C09"/>
    <w:rsid w:val="000348FC"/>
    <w:rsid w:val="00063F24"/>
    <w:rsid w:val="00066560"/>
    <w:rsid w:val="0006771F"/>
    <w:rsid w:val="00067C0E"/>
    <w:rsid w:val="00075827"/>
    <w:rsid w:val="00075C24"/>
    <w:rsid w:val="00075DD9"/>
    <w:rsid w:val="00084E4B"/>
    <w:rsid w:val="00092944"/>
    <w:rsid w:val="000C245F"/>
    <w:rsid w:val="000C7545"/>
    <w:rsid w:val="000D136B"/>
    <w:rsid w:val="000D2A79"/>
    <w:rsid w:val="000D6D70"/>
    <w:rsid w:val="000D795B"/>
    <w:rsid w:val="00113332"/>
    <w:rsid w:val="001169F6"/>
    <w:rsid w:val="00120BF3"/>
    <w:rsid w:val="00125220"/>
    <w:rsid w:val="00135091"/>
    <w:rsid w:val="00152D1B"/>
    <w:rsid w:val="0016352E"/>
    <w:rsid w:val="0016453B"/>
    <w:rsid w:val="0016465F"/>
    <w:rsid w:val="0017449A"/>
    <w:rsid w:val="001750AD"/>
    <w:rsid w:val="0017799B"/>
    <w:rsid w:val="00186291"/>
    <w:rsid w:val="00186BB1"/>
    <w:rsid w:val="001908DB"/>
    <w:rsid w:val="001A0961"/>
    <w:rsid w:val="001A39A6"/>
    <w:rsid w:val="001E09AC"/>
    <w:rsid w:val="001E24A4"/>
    <w:rsid w:val="001E3EE0"/>
    <w:rsid w:val="001F4A68"/>
    <w:rsid w:val="002002A7"/>
    <w:rsid w:val="00200D2E"/>
    <w:rsid w:val="0021432B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5366"/>
    <w:rsid w:val="00287FAE"/>
    <w:rsid w:val="002A66C6"/>
    <w:rsid w:val="002C2AE3"/>
    <w:rsid w:val="002E437A"/>
    <w:rsid w:val="002E5182"/>
    <w:rsid w:val="002F7D81"/>
    <w:rsid w:val="003070C3"/>
    <w:rsid w:val="003158A3"/>
    <w:rsid w:val="00322703"/>
    <w:rsid w:val="00326CBD"/>
    <w:rsid w:val="00330BD9"/>
    <w:rsid w:val="00351BC1"/>
    <w:rsid w:val="00360DC1"/>
    <w:rsid w:val="003B03A9"/>
    <w:rsid w:val="003B0D38"/>
    <w:rsid w:val="003D019C"/>
    <w:rsid w:val="003E7252"/>
    <w:rsid w:val="003F21B9"/>
    <w:rsid w:val="003F531A"/>
    <w:rsid w:val="00402828"/>
    <w:rsid w:val="00406139"/>
    <w:rsid w:val="00410373"/>
    <w:rsid w:val="0041257C"/>
    <w:rsid w:val="00414FCB"/>
    <w:rsid w:val="00421579"/>
    <w:rsid w:val="00422A4D"/>
    <w:rsid w:val="0043174C"/>
    <w:rsid w:val="004322BE"/>
    <w:rsid w:val="00436940"/>
    <w:rsid w:val="004374F5"/>
    <w:rsid w:val="00456223"/>
    <w:rsid w:val="004637C2"/>
    <w:rsid w:val="00463B39"/>
    <w:rsid w:val="004824FD"/>
    <w:rsid w:val="00490231"/>
    <w:rsid w:val="0049042D"/>
    <w:rsid w:val="00493707"/>
    <w:rsid w:val="004947E2"/>
    <w:rsid w:val="00496048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5B9"/>
    <w:rsid w:val="00516ED5"/>
    <w:rsid w:val="005229A8"/>
    <w:rsid w:val="005265E1"/>
    <w:rsid w:val="005367A5"/>
    <w:rsid w:val="00551BE9"/>
    <w:rsid w:val="005613E7"/>
    <w:rsid w:val="00563F1B"/>
    <w:rsid w:val="00564F99"/>
    <w:rsid w:val="005705E1"/>
    <w:rsid w:val="0057412C"/>
    <w:rsid w:val="00580DAC"/>
    <w:rsid w:val="005A12F4"/>
    <w:rsid w:val="005C0552"/>
    <w:rsid w:val="005C44E7"/>
    <w:rsid w:val="005C7B2A"/>
    <w:rsid w:val="005D2500"/>
    <w:rsid w:val="005D31FD"/>
    <w:rsid w:val="005D5108"/>
    <w:rsid w:val="00604F88"/>
    <w:rsid w:val="006264F5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5311"/>
    <w:rsid w:val="006A6563"/>
    <w:rsid w:val="006A6B0E"/>
    <w:rsid w:val="006C10CA"/>
    <w:rsid w:val="006C3273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64262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F05A5"/>
    <w:rsid w:val="00800175"/>
    <w:rsid w:val="008072E5"/>
    <w:rsid w:val="00811806"/>
    <w:rsid w:val="00821A14"/>
    <w:rsid w:val="00841334"/>
    <w:rsid w:val="00842D15"/>
    <w:rsid w:val="008445DC"/>
    <w:rsid w:val="008457C9"/>
    <w:rsid w:val="00856EE9"/>
    <w:rsid w:val="00861CC9"/>
    <w:rsid w:val="00862B05"/>
    <w:rsid w:val="008675C8"/>
    <w:rsid w:val="00867A4C"/>
    <w:rsid w:val="00883285"/>
    <w:rsid w:val="008901BA"/>
    <w:rsid w:val="00894F24"/>
    <w:rsid w:val="008963C1"/>
    <w:rsid w:val="008977A8"/>
    <w:rsid w:val="008979DE"/>
    <w:rsid w:val="00897C85"/>
    <w:rsid w:val="008A5366"/>
    <w:rsid w:val="008B2967"/>
    <w:rsid w:val="008C1A1D"/>
    <w:rsid w:val="008E1A67"/>
    <w:rsid w:val="008E3E34"/>
    <w:rsid w:val="008E75E6"/>
    <w:rsid w:val="008F2540"/>
    <w:rsid w:val="008F5626"/>
    <w:rsid w:val="009151A0"/>
    <w:rsid w:val="00917637"/>
    <w:rsid w:val="009227EB"/>
    <w:rsid w:val="00932E9A"/>
    <w:rsid w:val="00937515"/>
    <w:rsid w:val="00941CE6"/>
    <w:rsid w:val="00957640"/>
    <w:rsid w:val="0097112E"/>
    <w:rsid w:val="009952FB"/>
    <w:rsid w:val="009A3E00"/>
    <w:rsid w:val="009A5217"/>
    <w:rsid w:val="009B24D4"/>
    <w:rsid w:val="009B4EBD"/>
    <w:rsid w:val="009D4A44"/>
    <w:rsid w:val="009D796F"/>
    <w:rsid w:val="009E635E"/>
    <w:rsid w:val="009F10E5"/>
    <w:rsid w:val="00A022BA"/>
    <w:rsid w:val="00A05A28"/>
    <w:rsid w:val="00A11CA2"/>
    <w:rsid w:val="00A20AD4"/>
    <w:rsid w:val="00A346C2"/>
    <w:rsid w:val="00A45B31"/>
    <w:rsid w:val="00A477C8"/>
    <w:rsid w:val="00A51A27"/>
    <w:rsid w:val="00A6499E"/>
    <w:rsid w:val="00A651AC"/>
    <w:rsid w:val="00A75970"/>
    <w:rsid w:val="00A97936"/>
    <w:rsid w:val="00AA137B"/>
    <w:rsid w:val="00AA2854"/>
    <w:rsid w:val="00AA47A5"/>
    <w:rsid w:val="00AA47D7"/>
    <w:rsid w:val="00AB2CC3"/>
    <w:rsid w:val="00AC757A"/>
    <w:rsid w:val="00AC7DF5"/>
    <w:rsid w:val="00AE5051"/>
    <w:rsid w:val="00AF507B"/>
    <w:rsid w:val="00AF5345"/>
    <w:rsid w:val="00B01162"/>
    <w:rsid w:val="00B11E2D"/>
    <w:rsid w:val="00B20B6A"/>
    <w:rsid w:val="00B3227B"/>
    <w:rsid w:val="00B53343"/>
    <w:rsid w:val="00B65F5B"/>
    <w:rsid w:val="00B66187"/>
    <w:rsid w:val="00B94D6E"/>
    <w:rsid w:val="00B95C17"/>
    <w:rsid w:val="00BA4035"/>
    <w:rsid w:val="00BB037F"/>
    <w:rsid w:val="00BB618D"/>
    <w:rsid w:val="00BB69AC"/>
    <w:rsid w:val="00BD03BE"/>
    <w:rsid w:val="00BE5C72"/>
    <w:rsid w:val="00BF30BA"/>
    <w:rsid w:val="00C04B9C"/>
    <w:rsid w:val="00C0605C"/>
    <w:rsid w:val="00C401A1"/>
    <w:rsid w:val="00C4196B"/>
    <w:rsid w:val="00C44801"/>
    <w:rsid w:val="00C54D91"/>
    <w:rsid w:val="00C81340"/>
    <w:rsid w:val="00C85A09"/>
    <w:rsid w:val="00C92623"/>
    <w:rsid w:val="00C93F2E"/>
    <w:rsid w:val="00C960F5"/>
    <w:rsid w:val="00CA4432"/>
    <w:rsid w:val="00CB36A6"/>
    <w:rsid w:val="00CB5E0C"/>
    <w:rsid w:val="00CC2169"/>
    <w:rsid w:val="00CC4C49"/>
    <w:rsid w:val="00CC51EF"/>
    <w:rsid w:val="00CC6BA9"/>
    <w:rsid w:val="00CD4EC2"/>
    <w:rsid w:val="00CE0655"/>
    <w:rsid w:val="00CE07D3"/>
    <w:rsid w:val="00CF22A4"/>
    <w:rsid w:val="00D01032"/>
    <w:rsid w:val="00D2376D"/>
    <w:rsid w:val="00D24124"/>
    <w:rsid w:val="00D26474"/>
    <w:rsid w:val="00D50878"/>
    <w:rsid w:val="00D5679A"/>
    <w:rsid w:val="00D57AC0"/>
    <w:rsid w:val="00D6126D"/>
    <w:rsid w:val="00D61BE2"/>
    <w:rsid w:val="00D668F4"/>
    <w:rsid w:val="00D777B1"/>
    <w:rsid w:val="00D84EEA"/>
    <w:rsid w:val="00D9342E"/>
    <w:rsid w:val="00D95030"/>
    <w:rsid w:val="00DA4DE8"/>
    <w:rsid w:val="00DB4B82"/>
    <w:rsid w:val="00DC2A06"/>
    <w:rsid w:val="00DC422F"/>
    <w:rsid w:val="00DE2F8E"/>
    <w:rsid w:val="00DE42A7"/>
    <w:rsid w:val="00DE4423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57DA4"/>
    <w:rsid w:val="00F6691D"/>
    <w:rsid w:val="00F71A8C"/>
    <w:rsid w:val="00F751E7"/>
    <w:rsid w:val="00F846BB"/>
    <w:rsid w:val="00F8571F"/>
    <w:rsid w:val="00F96DE7"/>
    <w:rsid w:val="00FA2178"/>
    <w:rsid w:val="00FB3679"/>
    <w:rsid w:val="00FC29D0"/>
    <w:rsid w:val="00FD00BB"/>
    <w:rsid w:val="00FD13D7"/>
    <w:rsid w:val="00FD5DC4"/>
    <w:rsid w:val="00FF20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A3E00"/>
  </w:style>
  <w:style w:type="character" w:customStyle="1" w:styleId="BodyTextChar">
    <w:name w:val="Body Text Char"/>
    <w:basedOn w:val="DefaultParagraphFont"/>
    <w:link w:val="BodyText"/>
    <w:uiPriority w:val="99"/>
    <w:semiHidden/>
    <w:rsid w:val="009A3E00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5A805045F0C43D981445E6077D4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88DC-B095-4B19-AA15-D641B78BF74C}"/>
      </w:docPartPr>
      <w:docPartBody>
        <w:p w:rsidR="004374F5" w:rsidP="004374F5">
          <w:pPr>
            <w:pStyle w:val="05A805045F0C43D981445E6077D4BE87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F5"/>
    <w:rsid w:val="0020794A"/>
    <w:rsid w:val="00285366"/>
    <w:rsid w:val="004374F5"/>
    <w:rsid w:val="00496048"/>
    <w:rsid w:val="006C3273"/>
    <w:rsid w:val="00800175"/>
    <w:rsid w:val="008445DC"/>
    <w:rsid w:val="008E3505"/>
    <w:rsid w:val="00F533D1"/>
    <w:rsid w:val="00FA2178"/>
  </w:rsids>
  <m:mathPr>
    <m:mathFont m:val="Cambria Math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4F5"/>
    <w:rPr>
      <w:color w:val="666666"/>
    </w:rPr>
  </w:style>
  <w:style w:type="paragraph" w:customStyle="1" w:styleId="05A805045F0C43D981445E6077D4BE87">
    <w:name w:val="05A805045F0C43D981445E6077D4BE87"/>
    <w:rsid w:val="00437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8bd05f80c55b37645cb73488a0ba1cf2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F52E0-8882-466C-91F3-37AD0F0EF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Jessica Crossman</cp:lastModifiedBy>
  <cp:revision>2</cp:revision>
  <cp:lastPrinted>2019-01-11T13:43:00Z</cp:lastPrinted>
  <dcterms:created xsi:type="dcterms:W3CDTF">2024-10-03T11:19:00Z</dcterms:created>
  <dcterms:modified xsi:type="dcterms:W3CDTF">2024-10-03T11:19:00Z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0x01010063B80EF31B899040A570E470B4160EFB</vt:lpwstr>
  </property>
  <property fmtid="{D5CDD505-2E9C-101B-9397-08002B2CF9AE}" pid="4" name="_dlc_DocIdItemGuid">
    <vt:lpwstr>1d9fa747-816c-433d-9d34-cf78dc7bbe5d</vt:lpwstr>
  </property>
</Properties>
</file>