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28942176" w:rsidR="00570C16" w:rsidRPr="0034578D" w:rsidRDefault="00F31A08" w:rsidP="009303A5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31A0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Pharmacy, MPharm (Hons)</w:t>
      </w:r>
    </w:p>
    <w:p w14:paraId="55D48688" w14:textId="3724689F" w:rsidR="005036B3" w:rsidRPr="005036B3" w:rsidRDefault="00C31FDB" w:rsidP="009303A5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19"/>
          <w:szCs w:val="19"/>
        </w:rPr>
      </w:pPr>
      <w:hyperlink r:id="rId10" w:history="1">
        <w:r w:rsidR="005036B3" w:rsidRPr="005036B3">
          <w:rPr>
            <w:rStyle w:val="Hyperlink"/>
            <w:sz w:val="19"/>
            <w:szCs w:val="19"/>
          </w:rPr>
          <w:t>Pharmacy, MPharm (Hons) - Swansea University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77085" w14:paraId="014B28AA" w14:textId="77777777" w:rsidTr="00F87815">
        <w:tc>
          <w:tcPr>
            <w:tcW w:w="6799" w:type="dxa"/>
          </w:tcPr>
          <w:p w14:paraId="66259220" w14:textId="12E7C700" w:rsidR="00012611" w:rsidRPr="00012611" w:rsidRDefault="00012611">
            <w:r>
              <w:rPr>
                <w:b/>
                <w:bCs/>
              </w:rPr>
              <w:t xml:space="preserve">Duration: </w:t>
            </w:r>
            <w:r w:rsidRPr="00012611">
              <w:t xml:space="preserve">4 </w:t>
            </w:r>
            <w:r>
              <w:t>years full-time</w:t>
            </w:r>
            <w:r w:rsidR="003349C7">
              <w:t xml:space="preserve"> </w:t>
            </w:r>
          </w:p>
          <w:p w14:paraId="48AF35C6" w14:textId="4C7112E5" w:rsidR="00277085" w:rsidRDefault="00277085">
            <w:r w:rsidRPr="008167D9">
              <w:rPr>
                <w:b/>
                <w:bCs/>
              </w:rPr>
              <w:t>Tuition Fees:</w:t>
            </w:r>
            <w:r w:rsidR="00F87815">
              <w:rPr>
                <w:b/>
                <w:bCs/>
              </w:rPr>
              <w:t xml:space="preserve"> </w:t>
            </w:r>
            <w:r w:rsidR="00F87815" w:rsidRPr="00F87815">
              <w:t>Year 1</w:t>
            </w:r>
            <w:r w:rsidR="00F87815">
              <w:rPr>
                <w:b/>
                <w:bCs/>
              </w:rPr>
              <w:t xml:space="preserve"> </w:t>
            </w:r>
            <w:r>
              <w:t>£</w:t>
            </w:r>
            <w:r w:rsidR="00386582">
              <w:t>21,650</w:t>
            </w:r>
            <w:r w:rsidR="00F87815">
              <w:t xml:space="preserve"> (September 202</w:t>
            </w:r>
            <w:r w:rsidR="00386582">
              <w:t>4</w:t>
            </w:r>
            <w:r w:rsidR="00F87815">
              <w:t>)</w:t>
            </w:r>
          </w:p>
          <w:p w14:paraId="38CEF07E" w14:textId="04AEC7BF" w:rsidR="00483EDC" w:rsidRPr="00F87815" w:rsidRDefault="00483EDC">
            <w:pPr>
              <w:rPr>
                <w:b/>
                <w:bCs/>
              </w:rPr>
            </w:pPr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217" w:type="dxa"/>
          </w:tcPr>
          <w:p w14:paraId="75ECD402" w14:textId="77777777" w:rsidR="00277085" w:rsidRPr="008167D9" w:rsidRDefault="00277085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198E4073" w14:textId="77777777" w:rsidR="00277085" w:rsidRDefault="00277085">
            <w:r>
              <w:t xml:space="preserve">September </w:t>
            </w:r>
            <w:r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277085" w:rsidRPr="00184669" w14:paraId="49C6CD95" w14:textId="77777777">
        <w:tc>
          <w:tcPr>
            <w:tcW w:w="9016" w:type="dxa"/>
            <w:gridSpan w:val="2"/>
          </w:tcPr>
          <w:p w14:paraId="3B63ADAB" w14:textId="30E201ED" w:rsidR="00277085" w:rsidRDefault="00277085">
            <w:r>
              <w:rPr>
                <w:b/>
                <w:bCs/>
              </w:rPr>
              <w:t xml:space="preserve">Entry Requirements: </w:t>
            </w:r>
            <w:r w:rsidR="004E2B16" w:rsidRPr="00417CD5">
              <w:t>(</w:t>
            </w:r>
            <w:hyperlink r:id="rId12" w:history="1">
              <w:r w:rsidR="004E2B16" w:rsidRPr="00417CD5">
                <w:rPr>
                  <w:rStyle w:val="Hyperlink"/>
                </w:rPr>
                <w:t>Check Equivalencies for your Country</w:t>
              </w:r>
            </w:hyperlink>
            <w:r w:rsidR="004E2B16" w:rsidRPr="00417CD5">
              <w:t>)</w:t>
            </w:r>
          </w:p>
          <w:p w14:paraId="2DAF1434" w14:textId="04391AFA" w:rsidR="00277085" w:rsidRDefault="001B67FB" w:rsidP="00877F99">
            <w:pPr>
              <w:pStyle w:val="ListParagraph"/>
              <w:numPr>
                <w:ilvl w:val="0"/>
                <w:numId w:val="13"/>
              </w:numPr>
            </w:pPr>
            <w:r w:rsidRPr="001B67FB">
              <w:t>ABB-BBB at A-level which must include Chemistry and at least one other STEM subject</w:t>
            </w:r>
            <w:r w:rsidR="00AD3130">
              <w:t xml:space="preserve"> </w:t>
            </w:r>
            <w:r w:rsidR="00D565F1">
              <w:t>(</w:t>
            </w:r>
            <w:r w:rsidR="00D565F1" w:rsidRPr="001B67FB">
              <w:t>Biology</w:t>
            </w:r>
            <w:r w:rsidRPr="001B67FB">
              <w:t>, Physics, Mathematics and Psychology</w:t>
            </w:r>
            <w:r w:rsidR="00AD3130">
              <w:t>).  F</w:t>
            </w:r>
            <w:r w:rsidR="00CD3BC8">
              <w:t>oundation year availab</w:t>
            </w:r>
            <w:r w:rsidR="00D565F1">
              <w:t>le.</w:t>
            </w:r>
          </w:p>
          <w:p w14:paraId="3F88CE3F" w14:textId="77777777" w:rsidR="0072767F" w:rsidRDefault="0072767F" w:rsidP="00877F99">
            <w:pPr>
              <w:pStyle w:val="ListParagraph"/>
              <w:numPr>
                <w:ilvl w:val="0"/>
                <w:numId w:val="13"/>
              </w:numPr>
            </w:pPr>
            <w:r>
              <w:t xml:space="preserve">IB 32-34 overall including </w:t>
            </w:r>
            <w:r w:rsidR="00AD3130">
              <w:t>666-665 in 3 HL subjects – must include chemistry at HL</w:t>
            </w:r>
            <w:r w:rsidR="00D565F1">
              <w:t>6 with</w:t>
            </w:r>
            <w:r w:rsidR="00AD3130">
              <w:t xml:space="preserve"> at least one other STEM subject.</w:t>
            </w:r>
          </w:p>
          <w:p w14:paraId="75E7697D" w14:textId="4BD9A3FA" w:rsidR="00E11090" w:rsidRPr="0051297F" w:rsidRDefault="00E11090" w:rsidP="00877F99">
            <w:pPr>
              <w:pStyle w:val="ListParagraph"/>
              <w:numPr>
                <w:ilvl w:val="0"/>
                <w:numId w:val="13"/>
              </w:numPr>
            </w:pPr>
            <w:r>
              <w:t xml:space="preserve">Minimum of grade </w:t>
            </w:r>
            <w:proofErr w:type="spellStart"/>
            <w:r>
              <w:t>C at</w:t>
            </w:r>
            <w:proofErr w:type="spellEnd"/>
            <w:r>
              <w:t xml:space="preserve"> GCSE (or equivalent) in Maths.</w:t>
            </w:r>
          </w:p>
        </w:tc>
      </w:tr>
      <w:tr w:rsidR="00277085" w:rsidRPr="00B56452" w14:paraId="5317A0C9" w14:textId="77777777">
        <w:tc>
          <w:tcPr>
            <w:tcW w:w="9016" w:type="dxa"/>
            <w:gridSpan w:val="2"/>
          </w:tcPr>
          <w:p w14:paraId="6DB3F749" w14:textId="77777777" w:rsidR="00EE2213" w:rsidRDefault="00A4458A">
            <w:pPr>
              <w:rPr>
                <w:rFonts w:cstheme="minorHAnsi"/>
                <w:kern w:val="24"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</w:t>
            </w:r>
            <w:r w:rsidR="001B67FB">
              <w:rPr>
                <w:rFonts w:cstheme="minorHAnsi"/>
                <w:kern w:val="24"/>
              </w:rPr>
              <w:t>.5</w:t>
            </w:r>
            <w:r w:rsidRPr="00024779">
              <w:rPr>
                <w:rFonts w:cstheme="minorHAnsi"/>
                <w:kern w:val="24"/>
              </w:rPr>
              <w:t xml:space="preserve"> with no less than </w:t>
            </w:r>
            <w:r w:rsidR="001B67FB">
              <w:rPr>
                <w:rFonts w:cstheme="minorHAnsi"/>
                <w:kern w:val="24"/>
              </w:rPr>
              <w:t>6.0</w:t>
            </w:r>
            <w:r w:rsidRPr="00024779">
              <w:rPr>
                <w:rFonts w:cstheme="minorHAnsi"/>
                <w:kern w:val="24"/>
              </w:rPr>
              <w:t xml:space="preserve"> in all components</w:t>
            </w:r>
            <w:r w:rsidR="001A23C1">
              <w:rPr>
                <w:rFonts w:cstheme="minorHAnsi"/>
                <w:kern w:val="24"/>
              </w:rPr>
              <w:t xml:space="preserve"> </w:t>
            </w:r>
            <w:r w:rsidR="00CB4519">
              <w:rPr>
                <w:rFonts w:cstheme="minorHAnsi"/>
                <w:kern w:val="24"/>
              </w:rPr>
              <w:t>–</w:t>
            </w:r>
            <w:r w:rsidR="001A23C1">
              <w:rPr>
                <w:rFonts w:cstheme="minorHAnsi"/>
                <w:kern w:val="24"/>
              </w:rPr>
              <w:t xml:space="preserve"> </w:t>
            </w:r>
            <w:r w:rsidR="00CB4519">
              <w:rPr>
                <w:rFonts w:cstheme="minorHAnsi"/>
                <w:kern w:val="24"/>
              </w:rPr>
              <w:t>Evidence of English Language qualification must demonstrate overall score as well as individual components</w:t>
            </w:r>
            <w:r w:rsidR="00EE2213">
              <w:rPr>
                <w:rFonts w:cstheme="minorHAnsi"/>
                <w:kern w:val="24"/>
              </w:rPr>
              <w:t>,</w:t>
            </w:r>
            <w:r w:rsidR="000B5A8A">
              <w:rPr>
                <w:rFonts w:cstheme="minorHAnsi"/>
                <w:kern w:val="24"/>
              </w:rPr>
              <w:t xml:space="preserve"> this is a requirement of the </w:t>
            </w:r>
            <w:proofErr w:type="spellStart"/>
            <w:r w:rsidR="000B5A8A">
              <w:rPr>
                <w:rFonts w:cstheme="minorHAnsi"/>
                <w:kern w:val="24"/>
              </w:rPr>
              <w:t>GPhC</w:t>
            </w:r>
            <w:proofErr w:type="spellEnd"/>
            <w:r w:rsidR="000B5A8A">
              <w:rPr>
                <w:rFonts w:cstheme="minorHAnsi"/>
                <w:kern w:val="24"/>
              </w:rPr>
              <w:t xml:space="preserve">.  </w:t>
            </w:r>
          </w:p>
          <w:p w14:paraId="2F4F17C8" w14:textId="58B18830" w:rsidR="000B5A8A" w:rsidRDefault="00CB4519">
            <w:pPr>
              <w:rPr>
                <w:rFonts w:cstheme="minorHAnsi"/>
                <w:kern w:val="24"/>
              </w:rPr>
            </w:pPr>
            <w:r>
              <w:rPr>
                <w:rFonts w:cstheme="minorHAnsi"/>
                <w:kern w:val="24"/>
              </w:rPr>
              <w:t>If using</w:t>
            </w:r>
            <w:r w:rsidR="00484CEB">
              <w:rPr>
                <w:rFonts w:cstheme="minorHAnsi"/>
                <w:kern w:val="24"/>
              </w:rPr>
              <w:t xml:space="preserve"> a</w:t>
            </w:r>
            <w:r>
              <w:rPr>
                <w:rFonts w:cstheme="minorHAnsi"/>
                <w:kern w:val="24"/>
              </w:rPr>
              <w:t xml:space="preserve"> </w:t>
            </w:r>
            <w:r w:rsidR="00A4458A" w:rsidRPr="00B56452">
              <w:rPr>
                <w:rFonts w:cstheme="minorHAnsi"/>
                <w:kern w:val="24"/>
              </w:rPr>
              <w:t>Swansea University recognised equivalents</w:t>
            </w:r>
            <w:r w:rsidR="00B470E6">
              <w:rPr>
                <w:rFonts w:cstheme="minorHAnsi"/>
                <w:kern w:val="24"/>
              </w:rPr>
              <w:t xml:space="preserve"> (without individual components score)</w:t>
            </w:r>
            <w:r w:rsidR="001A23C1">
              <w:rPr>
                <w:rFonts w:cstheme="minorHAnsi"/>
                <w:kern w:val="24"/>
              </w:rPr>
              <w:t xml:space="preserve"> </w:t>
            </w:r>
            <w:r>
              <w:rPr>
                <w:rFonts w:cstheme="minorHAnsi"/>
                <w:kern w:val="24"/>
              </w:rPr>
              <w:t xml:space="preserve">applicants must demonstrate English Language level </w:t>
            </w:r>
            <w:r w:rsidR="001A23C1">
              <w:rPr>
                <w:rFonts w:cstheme="minorHAnsi"/>
                <w:kern w:val="24"/>
              </w:rPr>
              <w:t>at IELTS 7.0 overall</w:t>
            </w:r>
            <w:r w:rsidR="00B470E6">
              <w:rPr>
                <w:rFonts w:cstheme="minorHAnsi"/>
                <w:kern w:val="24"/>
              </w:rPr>
              <w:t xml:space="preserve"> or above</w:t>
            </w:r>
            <w:r>
              <w:rPr>
                <w:rFonts w:cstheme="minorHAnsi"/>
                <w:kern w:val="24"/>
              </w:rPr>
              <w:t xml:space="preserve">.  </w:t>
            </w:r>
          </w:p>
          <w:p w14:paraId="6AC999A1" w14:textId="6A649258" w:rsidR="00277085" w:rsidRPr="00B56452" w:rsidRDefault="00C31FDB">
            <w:pPr>
              <w:rPr>
                <w:b/>
                <w:bCs/>
              </w:rPr>
            </w:pPr>
            <w:hyperlink r:id="rId13" w:history="1">
              <w:r w:rsidR="00A4458A" w:rsidRPr="001E2782">
                <w:rPr>
                  <w:rStyle w:val="Hyperlink"/>
                  <w:rFonts w:cstheme="minorHAnsi"/>
                  <w:kern w:val="24"/>
                  <w:sz w:val="20"/>
                  <w:szCs w:val="20"/>
                </w:rPr>
                <w:t>Check Swansea University Approved Tests and Qualifications here</w:t>
              </w:r>
            </w:hyperlink>
          </w:p>
        </w:tc>
      </w:tr>
    </w:tbl>
    <w:p w14:paraId="3AC5F22D" w14:textId="77777777" w:rsidR="00BF095B" w:rsidRDefault="000C56FD" w:rsidP="00BF095B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5DC727E0" w14:textId="77777777" w:rsidR="00BF095B" w:rsidRPr="00BF095B" w:rsidRDefault="00BF095B" w:rsidP="00BF095B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0"/>
          <w:szCs w:val="10"/>
        </w:rPr>
      </w:pPr>
    </w:p>
    <w:p w14:paraId="63C41C41" w14:textId="53F6B68C" w:rsidR="00F5717A" w:rsidRPr="00BF095B" w:rsidRDefault="00F5717A" w:rsidP="00BF095B">
      <w:pPr>
        <w:spacing w:after="0" w:line="216" w:lineRule="auto"/>
        <w:jc w:val="both"/>
        <w:rPr>
          <w:rFonts w:hAnsi="Calibri"/>
          <w:b/>
          <w:i/>
          <w:color w:val="7030A0"/>
          <w:kern w:val="24"/>
          <w:sz w:val="18"/>
          <w:szCs w:val="18"/>
        </w:rPr>
      </w:pPr>
      <w:r w:rsidRPr="00BF095B">
        <w:rPr>
          <w:b/>
          <w:bCs/>
        </w:rPr>
        <w:t>Interview Process:</w:t>
      </w:r>
    </w:p>
    <w:p w14:paraId="417BE57F" w14:textId="77777777" w:rsidR="00383CD5" w:rsidRPr="00383CD5" w:rsidRDefault="00383CD5" w:rsidP="00240FF6">
      <w:pPr>
        <w:pStyle w:val="ListParagraph"/>
        <w:numPr>
          <w:ilvl w:val="0"/>
          <w:numId w:val="13"/>
        </w:numPr>
        <w:spacing w:after="0"/>
        <w:jc w:val="both"/>
        <w:rPr>
          <w:b/>
          <w:bCs/>
        </w:rPr>
      </w:pPr>
      <w:r>
        <w:t xml:space="preserve">Applicants eligible will be invited to attend an online interview, in the format of a Multiple Mini Interview (MMI). </w:t>
      </w:r>
    </w:p>
    <w:p w14:paraId="3F958C72" w14:textId="77777777" w:rsidR="00383CD5" w:rsidRPr="00383CD5" w:rsidRDefault="00383CD5" w:rsidP="00240FF6">
      <w:pPr>
        <w:pStyle w:val="ListParagraph"/>
        <w:numPr>
          <w:ilvl w:val="0"/>
          <w:numId w:val="13"/>
        </w:numPr>
        <w:spacing w:after="0"/>
        <w:jc w:val="both"/>
        <w:rPr>
          <w:b/>
          <w:bCs/>
        </w:rPr>
      </w:pPr>
      <w:r>
        <w:t xml:space="preserve">Applicants will be asked to spend 5 minutes at a variety of different ‘stations’, each will focus on areas of competency which we feel make a good Pharmacist, such as: Problem solving, Ethics, Knowledge of the profession, </w:t>
      </w:r>
      <w:proofErr w:type="gramStart"/>
      <w:r>
        <w:t>Numeracy</w:t>
      </w:r>
      <w:proofErr w:type="gramEnd"/>
      <w:r>
        <w:t xml:space="preserve"> and communication skills. </w:t>
      </w:r>
    </w:p>
    <w:p w14:paraId="207C8B1E" w14:textId="35979A85" w:rsidR="00F5717A" w:rsidRPr="00234BFF" w:rsidRDefault="00383CD5" w:rsidP="00240FF6">
      <w:pPr>
        <w:pStyle w:val="ListParagraph"/>
        <w:numPr>
          <w:ilvl w:val="0"/>
          <w:numId w:val="13"/>
        </w:numPr>
        <w:spacing w:after="0"/>
        <w:jc w:val="both"/>
        <w:rPr>
          <w:b/>
          <w:bCs/>
        </w:rPr>
      </w:pPr>
      <w:r>
        <w:t xml:space="preserve">Each station involves a </w:t>
      </w:r>
      <w:r w:rsidR="004672A6">
        <w:t xml:space="preserve">virtual </w:t>
      </w:r>
      <w:r>
        <w:t>face-to-face discussion with an academic.</w:t>
      </w:r>
    </w:p>
    <w:p w14:paraId="140FB7E9" w14:textId="1693A8AA" w:rsidR="00234BFF" w:rsidRPr="00234BFF" w:rsidRDefault="00234BFF" w:rsidP="00240FF6">
      <w:pPr>
        <w:pStyle w:val="ListParagraph"/>
        <w:numPr>
          <w:ilvl w:val="0"/>
          <w:numId w:val="13"/>
        </w:numPr>
        <w:spacing w:after="0"/>
        <w:jc w:val="both"/>
      </w:pPr>
      <w:r w:rsidRPr="00234BFF">
        <w:t>The Pharmacy interview takes a total of about 2 hours, with the MMI stage of the assessment process taking no more than 30 minutes. There is also a group exercise and presentations from our Pharmacy academic team.</w:t>
      </w:r>
    </w:p>
    <w:p w14:paraId="53815FF3" w14:textId="77777777" w:rsidR="0065103E" w:rsidRPr="00BF095B" w:rsidRDefault="0065103E" w:rsidP="00240FF6">
      <w:pPr>
        <w:spacing w:after="0"/>
        <w:jc w:val="both"/>
        <w:rPr>
          <w:sz w:val="10"/>
          <w:szCs w:val="10"/>
        </w:rPr>
      </w:pPr>
    </w:p>
    <w:p w14:paraId="691D5FA6" w14:textId="77777777" w:rsidR="00BF095B" w:rsidRPr="00B221E7" w:rsidRDefault="00BF095B" w:rsidP="00BF095B">
      <w:pPr>
        <w:spacing w:after="0"/>
        <w:jc w:val="both"/>
        <w:rPr>
          <w:b/>
          <w:bCs/>
        </w:rPr>
      </w:pPr>
      <w:r>
        <w:rPr>
          <w:b/>
          <w:bCs/>
        </w:rPr>
        <w:t>Important things to note:</w:t>
      </w:r>
    </w:p>
    <w:p w14:paraId="26EB5127" w14:textId="5E90BCB9" w:rsidR="00BF095B" w:rsidRDefault="00BF095B" w:rsidP="00BF095B">
      <w:pPr>
        <w:pStyle w:val="ListParagraph"/>
        <w:numPr>
          <w:ilvl w:val="0"/>
          <w:numId w:val="17"/>
        </w:numPr>
        <w:jc w:val="both"/>
      </w:pPr>
      <w:r>
        <w:t>We are r</w:t>
      </w:r>
      <w:r w:rsidRPr="0027223B">
        <w:t xml:space="preserve">anked </w:t>
      </w:r>
      <w:r w:rsidR="00C31FDB">
        <w:t>12</w:t>
      </w:r>
      <w:r w:rsidR="00C31FDB" w:rsidRPr="00C31FDB">
        <w:rPr>
          <w:vertAlign w:val="superscript"/>
        </w:rPr>
        <w:t>th</w:t>
      </w:r>
      <w:r w:rsidR="00C31FDB">
        <w:t xml:space="preserve"> </w:t>
      </w:r>
      <w:r w:rsidRPr="0027223B">
        <w:t xml:space="preserve">in the UK for Pharmacy and Pharmacology </w:t>
      </w:r>
      <w:r w:rsidR="00C31FDB">
        <w:t xml:space="preserve">(Complete University Guide 2024) </w:t>
      </w:r>
      <w:r w:rsidRPr="0027223B">
        <w:t>and 3</w:t>
      </w:r>
      <w:r w:rsidRPr="00661D7E">
        <w:rPr>
          <w:vertAlign w:val="superscript"/>
        </w:rPr>
        <w:t>rd</w:t>
      </w:r>
      <w:r w:rsidRPr="0027223B">
        <w:t xml:space="preserve"> for Research (Times 2023</w:t>
      </w:r>
      <w:r>
        <w:t>).</w:t>
      </w:r>
    </w:p>
    <w:p w14:paraId="2C950396" w14:textId="77777777" w:rsidR="00BF095B" w:rsidRDefault="00BF095B" w:rsidP="00BF095B">
      <w:pPr>
        <w:pStyle w:val="ListParagraph"/>
        <w:numPr>
          <w:ilvl w:val="0"/>
          <w:numId w:val="17"/>
        </w:numPr>
        <w:jc w:val="both"/>
      </w:pPr>
      <w:r>
        <w:t>Up to 55 days of clinical placements throughout the programme.</w:t>
      </w:r>
    </w:p>
    <w:p w14:paraId="6BB750BB" w14:textId="77777777" w:rsidR="00BF095B" w:rsidRDefault="00BF095B" w:rsidP="00BF095B">
      <w:pPr>
        <w:pStyle w:val="ListParagraph"/>
        <w:numPr>
          <w:ilvl w:val="0"/>
          <w:numId w:val="17"/>
        </w:numPr>
        <w:jc w:val="both"/>
      </w:pPr>
      <w:r>
        <w:t xml:space="preserve">Clinical placements begin in semester 1 of year 1. </w:t>
      </w:r>
    </w:p>
    <w:p w14:paraId="72A0FB75" w14:textId="77777777" w:rsidR="00BF095B" w:rsidRPr="0027223B" w:rsidRDefault="00BF095B" w:rsidP="00BF095B">
      <w:pPr>
        <w:pStyle w:val="ListParagraph"/>
        <w:numPr>
          <w:ilvl w:val="0"/>
          <w:numId w:val="17"/>
        </w:numPr>
        <w:jc w:val="both"/>
      </w:pPr>
      <w:r>
        <w:t>The programme is provisionally accredited by the General Pharmaceutical Council (</w:t>
      </w:r>
      <w:proofErr w:type="spellStart"/>
      <w:r>
        <w:t>GPhC</w:t>
      </w:r>
      <w:proofErr w:type="spellEnd"/>
      <w:r>
        <w:t xml:space="preserve">) until the programme receives full accreditation. </w:t>
      </w:r>
    </w:p>
    <w:p w14:paraId="24DBBC81" w14:textId="77777777" w:rsidR="00BF095B" w:rsidRDefault="00BF095B" w:rsidP="00BF095B">
      <w:pPr>
        <w:pStyle w:val="ListParagraph"/>
        <w:numPr>
          <w:ilvl w:val="0"/>
          <w:numId w:val="17"/>
        </w:numPr>
        <w:spacing w:after="0"/>
        <w:jc w:val="both"/>
      </w:pPr>
      <w:r>
        <w:t>A Disclosure and Barring Service (DBS) check (for international applicants – a certificate of good conduct from their country’s police force/ home office) an Occupational Health Check and a Fitness to Practice form are required to be offered a place.</w:t>
      </w:r>
    </w:p>
    <w:p w14:paraId="246F05F4" w14:textId="77777777" w:rsidR="00BF095B" w:rsidRDefault="00BF095B" w:rsidP="00BF095B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Following successful completing of the 4-year MPharm programme students must undertake a 12-month salaried Foundation Training Year independent of the University to progress towards full qualification as a Pharmacist with the </w:t>
      </w:r>
      <w:proofErr w:type="spellStart"/>
      <w:r>
        <w:t>GPhC</w:t>
      </w:r>
      <w:proofErr w:type="spellEnd"/>
      <w:r>
        <w:t xml:space="preserve">.  </w:t>
      </w:r>
    </w:p>
    <w:p w14:paraId="18F950ED" w14:textId="77777777" w:rsidR="00BF095B" w:rsidRDefault="00BF095B" w:rsidP="00BF095B">
      <w:pPr>
        <w:spacing w:after="0"/>
        <w:jc w:val="both"/>
      </w:pPr>
    </w:p>
    <w:p w14:paraId="4715AF5B" w14:textId="5244157D" w:rsidR="00873ACD" w:rsidRPr="00873ACD" w:rsidRDefault="00C52142" w:rsidP="00BF095B">
      <w:pPr>
        <w:spacing w:after="0"/>
        <w:jc w:val="both"/>
        <w:rPr>
          <w:b/>
          <w:bCs/>
        </w:rPr>
      </w:pPr>
      <w:r>
        <w:rPr>
          <w:b/>
          <w:bCs/>
        </w:rPr>
        <w:t>What is this programme about?</w:t>
      </w:r>
    </w:p>
    <w:p w14:paraId="323144AE" w14:textId="6FB0AFC5" w:rsidR="0062391D" w:rsidRDefault="0062391D" w:rsidP="00240FF6">
      <w:pPr>
        <w:pStyle w:val="ListParagraph"/>
        <w:numPr>
          <w:ilvl w:val="0"/>
          <w:numId w:val="22"/>
        </w:numPr>
        <w:spacing w:after="0"/>
        <w:jc w:val="both"/>
      </w:pPr>
      <w:r>
        <w:t xml:space="preserve">During </w:t>
      </w:r>
      <w:r w:rsidR="008D3E74">
        <w:t xml:space="preserve">their </w:t>
      </w:r>
      <w:r>
        <w:t xml:space="preserve">four-year integrated </w:t>
      </w:r>
      <w:r w:rsidR="005B6240">
        <w:t>master’s degree</w:t>
      </w:r>
      <w:r>
        <w:t xml:space="preserve"> (MPharm) in Pharmacy, </w:t>
      </w:r>
      <w:r w:rsidR="008D3E74">
        <w:t xml:space="preserve">students </w:t>
      </w:r>
      <w:r>
        <w:t xml:space="preserve">will follow a curriculum designed to reflect the way Pharmacists approach patients and how patients </w:t>
      </w:r>
      <w:r>
        <w:lastRenderedPageBreak/>
        <w:t xml:space="preserve">present to Pharmacists. We combine fundamental and complex scientific principles with how it is applied to give </w:t>
      </w:r>
      <w:r w:rsidR="008D3E74">
        <w:t>students</w:t>
      </w:r>
      <w:r>
        <w:t xml:space="preserve"> a clear understanding of the practice of Pharmacy.</w:t>
      </w:r>
    </w:p>
    <w:p w14:paraId="70D81901" w14:textId="140428DF" w:rsidR="005611B3" w:rsidRDefault="00615C3E" w:rsidP="00240FF6">
      <w:pPr>
        <w:pStyle w:val="ListParagraph"/>
        <w:numPr>
          <w:ilvl w:val="0"/>
          <w:numId w:val="22"/>
        </w:numPr>
        <w:spacing w:after="0"/>
        <w:jc w:val="both"/>
      </w:pPr>
      <w:r>
        <w:t>Learning</w:t>
      </w:r>
      <w:r w:rsidR="0062391D">
        <w:t xml:space="preserve"> clinical</w:t>
      </w:r>
      <w:r>
        <w:t xml:space="preserve">, </w:t>
      </w:r>
      <w:r w:rsidR="0062391D">
        <w:t>communication</w:t>
      </w:r>
      <w:r>
        <w:t xml:space="preserve"> </w:t>
      </w:r>
      <w:r w:rsidR="0062391D">
        <w:t>and digital technology</w:t>
      </w:r>
      <w:r>
        <w:t xml:space="preserve"> skills</w:t>
      </w:r>
      <w:r w:rsidR="0062391D">
        <w:t xml:space="preserve">, </w:t>
      </w:r>
      <w:r w:rsidR="008D3E74">
        <w:t xml:space="preserve">students </w:t>
      </w:r>
      <w:r w:rsidR="0062391D">
        <w:t>will develop the academic, practical, and personal qualities to practice pharmacy competently and with confidence.</w:t>
      </w:r>
    </w:p>
    <w:p w14:paraId="10B4419C" w14:textId="77777777" w:rsidR="005B6240" w:rsidRDefault="005B6240" w:rsidP="00240FF6">
      <w:pPr>
        <w:spacing w:after="0"/>
        <w:jc w:val="both"/>
        <w:rPr>
          <w:b/>
          <w:bCs/>
        </w:rPr>
      </w:pPr>
    </w:p>
    <w:p w14:paraId="32F60B6B" w14:textId="77777777" w:rsidR="00DF3068" w:rsidRDefault="00DF3068" w:rsidP="00D90430">
      <w:pPr>
        <w:spacing w:after="0"/>
        <w:rPr>
          <w:b/>
          <w:bCs/>
        </w:rPr>
      </w:pPr>
    </w:p>
    <w:p w14:paraId="6BC71CDE" w14:textId="77777777" w:rsidR="00003A78" w:rsidRPr="00EB533C" w:rsidRDefault="00003A78" w:rsidP="00003A78">
      <w:pPr>
        <w:spacing w:after="0"/>
        <w:rPr>
          <w:b/>
          <w:bCs/>
        </w:rPr>
      </w:pPr>
      <w:r>
        <w:rPr>
          <w:b/>
          <w:bCs/>
        </w:rPr>
        <w:t>Example Topics Within the Programme: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0D77" w14:paraId="6461127F" w14:textId="77777777" w:rsidTr="00BF095B">
        <w:tc>
          <w:tcPr>
            <w:tcW w:w="4508" w:type="dxa"/>
          </w:tcPr>
          <w:p w14:paraId="211C85A3" w14:textId="7836C198" w:rsidR="006E0388" w:rsidRDefault="006E0388" w:rsidP="00AE6D77">
            <w:pPr>
              <w:pStyle w:val="ListParagraph"/>
              <w:numPr>
                <w:ilvl w:val="0"/>
                <w:numId w:val="21"/>
              </w:numPr>
              <w:ind w:left="306"/>
            </w:pPr>
            <w:r>
              <w:t>Pharmacist as a Professional</w:t>
            </w:r>
          </w:p>
          <w:p w14:paraId="5E3F7BBB" w14:textId="76396718" w:rsidR="006E0388" w:rsidRDefault="006E0388" w:rsidP="00AE6D77">
            <w:pPr>
              <w:pStyle w:val="ListParagraph"/>
              <w:numPr>
                <w:ilvl w:val="0"/>
                <w:numId w:val="21"/>
              </w:numPr>
              <w:ind w:left="306"/>
            </w:pPr>
            <w:r>
              <w:t>Health, Disease and Patient</w:t>
            </w:r>
          </w:p>
          <w:p w14:paraId="447A93A5" w14:textId="755435ED" w:rsidR="006E0388" w:rsidRDefault="006E0388" w:rsidP="00AE6D77">
            <w:pPr>
              <w:pStyle w:val="ListParagraph"/>
              <w:numPr>
                <w:ilvl w:val="0"/>
                <w:numId w:val="21"/>
              </w:numPr>
              <w:ind w:left="306"/>
            </w:pPr>
            <w:r>
              <w:t>Drugs &amp; Medicines</w:t>
            </w:r>
          </w:p>
          <w:p w14:paraId="5193948B" w14:textId="6216738C" w:rsidR="006E0388" w:rsidRDefault="006E0388" w:rsidP="00AE6D77">
            <w:pPr>
              <w:pStyle w:val="ListParagraph"/>
              <w:numPr>
                <w:ilvl w:val="0"/>
                <w:numId w:val="21"/>
              </w:numPr>
              <w:ind w:left="306"/>
            </w:pPr>
            <w:r>
              <w:t>Practice of Pharmacy</w:t>
            </w:r>
            <w:r>
              <w:tab/>
            </w:r>
          </w:p>
        </w:tc>
        <w:tc>
          <w:tcPr>
            <w:tcW w:w="4508" w:type="dxa"/>
          </w:tcPr>
          <w:p w14:paraId="2216E55E" w14:textId="741C230F" w:rsidR="008A1870" w:rsidRDefault="008A1870" w:rsidP="00AE6D77">
            <w:pPr>
              <w:pStyle w:val="ListParagraph"/>
              <w:numPr>
                <w:ilvl w:val="0"/>
                <w:numId w:val="20"/>
              </w:numPr>
              <w:ind w:left="484"/>
            </w:pPr>
            <w:r>
              <w:t>Patient-Centred Learning</w:t>
            </w:r>
          </w:p>
          <w:p w14:paraId="7679EBC9" w14:textId="6E53F875" w:rsidR="003C5E0E" w:rsidRDefault="003C5E0E" w:rsidP="00AE6D77">
            <w:pPr>
              <w:pStyle w:val="ListParagraph"/>
              <w:numPr>
                <w:ilvl w:val="0"/>
                <w:numId w:val="20"/>
              </w:numPr>
              <w:ind w:left="484"/>
            </w:pPr>
            <w:r>
              <w:t>Substance Misuse</w:t>
            </w:r>
          </w:p>
          <w:p w14:paraId="636A0B68" w14:textId="1D08709C" w:rsidR="008A1870" w:rsidRDefault="008A1870" w:rsidP="00AE6D77">
            <w:pPr>
              <w:pStyle w:val="ListParagraph"/>
              <w:numPr>
                <w:ilvl w:val="0"/>
                <w:numId w:val="20"/>
              </w:numPr>
              <w:ind w:left="484"/>
            </w:pPr>
            <w:r>
              <w:t>Patients and the population (PATP)</w:t>
            </w:r>
          </w:p>
          <w:p w14:paraId="25B67988" w14:textId="764480D3" w:rsidR="00D90D77" w:rsidRDefault="008A1870" w:rsidP="00AE6D77">
            <w:pPr>
              <w:pStyle w:val="ListParagraph"/>
              <w:numPr>
                <w:ilvl w:val="0"/>
                <w:numId w:val="20"/>
              </w:numPr>
              <w:ind w:left="484"/>
            </w:pPr>
            <w:r>
              <w:t>Preparation for Advanced Practice &amp; Management (PAPM)</w:t>
            </w:r>
          </w:p>
        </w:tc>
      </w:tr>
    </w:tbl>
    <w:p w14:paraId="36B2F855" w14:textId="0E99AC79" w:rsidR="00F05A20" w:rsidRDefault="00F05A20" w:rsidP="00C52142">
      <w:pPr>
        <w:spacing w:after="0"/>
        <w:rPr>
          <w:b/>
          <w:bCs/>
        </w:rPr>
      </w:pPr>
    </w:p>
    <w:p w14:paraId="6BA8CF41" w14:textId="00F4DF56" w:rsidR="00244D50" w:rsidRPr="00244D50" w:rsidRDefault="006248A5" w:rsidP="00B02321">
      <w:pPr>
        <w:spacing w:after="0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5061A6ED" w14:textId="77777777" w:rsidR="005C286E" w:rsidRDefault="005C286E" w:rsidP="005C286E">
      <w:pPr>
        <w:pStyle w:val="ListParagraph"/>
        <w:numPr>
          <w:ilvl w:val="0"/>
          <w:numId w:val="19"/>
        </w:numPr>
        <w:spacing w:after="0"/>
      </w:pPr>
      <w:r>
        <w:t>H</w:t>
      </w:r>
      <w:r w:rsidR="00C24510">
        <w:t xml:space="preserve">ospital </w:t>
      </w:r>
      <w:r>
        <w:t>P</w:t>
      </w:r>
      <w:r w:rsidR="00C24510">
        <w:t xml:space="preserve">harmacy </w:t>
      </w:r>
    </w:p>
    <w:p w14:paraId="0B007D06" w14:textId="77777777" w:rsidR="005C286E" w:rsidRDefault="005C286E" w:rsidP="005C286E">
      <w:pPr>
        <w:pStyle w:val="ListParagraph"/>
        <w:numPr>
          <w:ilvl w:val="0"/>
          <w:numId w:val="19"/>
        </w:numPr>
        <w:spacing w:after="0"/>
      </w:pPr>
      <w:r>
        <w:t>C</w:t>
      </w:r>
      <w:r w:rsidR="00C24510">
        <w:t xml:space="preserve">ommunity </w:t>
      </w:r>
      <w:r>
        <w:t>P</w:t>
      </w:r>
      <w:r w:rsidR="00C24510">
        <w:t xml:space="preserve">harmacy </w:t>
      </w:r>
    </w:p>
    <w:p w14:paraId="0612E4F9" w14:textId="158D3C6B" w:rsidR="005C286E" w:rsidRDefault="005C286E" w:rsidP="005C286E">
      <w:pPr>
        <w:pStyle w:val="ListParagraph"/>
        <w:numPr>
          <w:ilvl w:val="0"/>
          <w:numId w:val="19"/>
        </w:numPr>
        <w:spacing w:after="0"/>
      </w:pPr>
      <w:r>
        <w:t>P</w:t>
      </w:r>
      <w:r w:rsidR="00C24510">
        <w:t xml:space="preserve">rimary </w:t>
      </w:r>
      <w:r w:rsidR="00615C3E">
        <w:t>C</w:t>
      </w:r>
      <w:r w:rsidR="00C24510">
        <w:t>are</w:t>
      </w:r>
      <w:r>
        <w:t xml:space="preserve"> </w:t>
      </w:r>
    </w:p>
    <w:p w14:paraId="02D19FAD" w14:textId="77777777" w:rsidR="005C286E" w:rsidRDefault="005C286E" w:rsidP="005C286E">
      <w:pPr>
        <w:pStyle w:val="ListParagraph"/>
        <w:numPr>
          <w:ilvl w:val="0"/>
          <w:numId w:val="19"/>
        </w:numPr>
        <w:spacing w:after="0"/>
      </w:pPr>
      <w:r>
        <w:t>P</w:t>
      </w:r>
      <w:r w:rsidR="00C24510">
        <w:t xml:space="preserve">harmaceutical </w:t>
      </w:r>
      <w:r>
        <w:t>I</w:t>
      </w:r>
      <w:r w:rsidR="00C24510">
        <w:t xml:space="preserve">ndustry </w:t>
      </w:r>
    </w:p>
    <w:p w14:paraId="4779E880" w14:textId="2E1F5376" w:rsidR="00597E99" w:rsidRDefault="005C286E" w:rsidP="00597E99">
      <w:pPr>
        <w:pStyle w:val="ListParagraph"/>
        <w:numPr>
          <w:ilvl w:val="0"/>
          <w:numId w:val="19"/>
        </w:numPr>
        <w:spacing w:after="0"/>
      </w:pPr>
      <w:r>
        <w:t>A</w:t>
      </w:r>
      <w:r w:rsidR="00C24510">
        <w:t>cademia</w:t>
      </w:r>
    </w:p>
    <w:p w14:paraId="7E008494" w14:textId="77777777" w:rsidR="00BF095B" w:rsidRDefault="00BF095B" w:rsidP="00597E99">
      <w:pPr>
        <w:spacing w:after="0"/>
      </w:pPr>
    </w:p>
    <w:p w14:paraId="395E5A1A" w14:textId="3DECA9FF" w:rsidR="00C52142" w:rsidRDefault="003B3B07" w:rsidP="00597E99">
      <w:pPr>
        <w:spacing w:after="0"/>
      </w:pPr>
      <w:r>
        <w:t xml:space="preserve">Careers in the NHS </w:t>
      </w:r>
      <w:proofErr w:type="gramStart"/>
      <w:r>
        <w:t>i.e.</w:t>
      </w:r>
      <w:proofErr w:type="gramEnd"/>
      <w:r>
        <w:t xml:space="preserve"> hospital or GP practice Pharmaci</w:t>
      </w:r>
      <w:r w:rsidR="00E44EDE">
        <w:t>sts will usually start on a band 6 pay scale (approx.</w:t>
      </w:r>
      <w:r w:rsidR="00C633D5">
        <w:t xml:space="preserve"> over £33,000) and </w:t>
      </w:r>
      <w:r w:rsidR="00297854">
        <w:t xml:space="preserve">Pharmacists have the potential to reach band 9 as a Chief Pharmacists.  </w:t>
      </w:r>
      <w:hyperlink r:id="rId14" w:history="1">
        <w:r w:rsidR="00510331">
          <w:rPr>
            <w:rStyle w:val="Hyperlink"/>
          </w:rPr>
          <w:t>Pharmacist | Health Careers</w:t>
        </w:r>
      </w:hyperlink>
    </w:p>
    <w:sectPr w:rsidR="00C52142" w:rsidSect="004B6D15">
      <w:headerReference w:type="default" r:id="rId15"/>
      <w:footerReference w:type="default" r:id="rId16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573C" w14:textId="77777777" w:rsidR="006B2010" w:rsidRDefault="006B2010" w:rsidP="00144CCD">
      <w:pPr>
        <w:spacing w:after="0" w:line="240" w:lineRule="auto"/>
      </w:pPr>
      <w:r>
        <w:separator/>
      </w:r>
    </w:p>
  </w:endnote>
  <w:endnote w:type="continuationSeparator" w:id="0">
    <w:p w14:paraId="4F185B3C" w14:textId="77777777" w:rsidR="006B2010" w:rsidRDefault="006B2010" w:rsidP="00144CCD">
      <w:pPr>
        <w:spacing w:after="0" w:line="240" w:lineRule="auto"/>
      </w:pPr>
      <w:r>
        <w:continuationSeparator/>
      </w:r>
    </w:p>
  </w:endnote>
  <w:endnote w:type="continuationNotice" w:id="1">
    <w:p w14:paraId="2AB4483C" w14:textId="77777777" w:rsidR="006B2010" w:rsidRDefault="006B2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843B" w14:textId="67D10ED6" w:rsidR="00EF5A13" w:rsidRPr="00EF5A13" w:rsidRDefault="00EF5A13" w:rsidP="00EF5A13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4697" w14:textId="77777777" w:rsidR="006B2010" w:rsidRDefault="006B2010" w:rsidP="00144CCD">
      <w:pPr>
        <w:spacing w:after="0" w:line="240" w:lineRule="auto"/>
      </w:pPr>
      <w:r>
        <w:separator/>
      </w:r>
    </w:p>
  </w:footnote>
  <w:footnote w:type="continuationSeparator" w:id="0">
    <w:p w14:paraId="4A907789" w14:textId="77777777" w:rsidR="006B2010" w:rsidRDefault="006B2010" w:rsidP="00144CCD">
      <w:pPr>
        <w:spacing w:after="0" w:line="240" w:lineRule="auto"/>
      </w:pPr>
      <w:r>
        <w:continuationSeparator/>
      </w:r>
    </w:p>
  </w:footnote>
  <w:footnote w:type="continuationNotice" w:id="1">
    <w:p w14:paraId="68882C1B" w14:textId="77777777" w:rsidR="006B2010" w:rsidRDefault="006B2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620" w14:textId="26A40B11" w:rsidR="00144CCD" w:rsidRDefault="00144CCD" w:rsidP="00087C30">
    <w:pPr>
      <w:pStyle w:val="Header"/>
      <w:tabs>
        <w:tab w:val="clear" w:pos="4513"/>
        <w:tab w:val="clear" w:pos="9026"/>
        <w:tab w:val="left" w:pos="80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497E5" wp14:editId="5C773A04">
          <wp:simplePos x="0" y="0"/>
          <wp:positionH relativeFrom="margin">
            <wp:posOffset>5306695</wp:posOffset>
          </wp:positionH>
          <wp:positionV relativeFrom="paragraph">
            <wp:posOffset>-430530</wp:posOffset>
          </wp:positionV>
          <wp:extent cx="1130275" cy="80454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27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C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31"/>
    <w:multiLevelType w:val="hybridMultilevel"/>
    <w:tmpl w:val="868A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190"/>
    <w:multiLevelType w:val="hybridMultilevel"/>
    <w:tmpl w:val="B41A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56D1"/>
    <w:multiLevelType w:val="hybridMultilevel"/>
    <w:tmpl w:val="AADA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521"/>
    <w:multiLevelType w:val="hybridMultilevel"/>
    <w:tmpl w:val="83A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3B86"/>
    <w:multiLevelType w:val="hybridMultilevel"/>
    <w:tmpl w:val="6750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4CF4"/>
    <w:multiLevelType w:val="hybridMultilevel"/>
    <w:tmpl w:val="E832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64B5"/>
    <w:multiLevelType w:val="hybridMultilevel"/>
    <w:tmpl w:val="6376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405AB"/>
    <w:multiLevelType w:val="hybridMultilevel"/>
    <w:tmpl w:val="2D54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74869"/>
    <w:multiLevelType w:val="hybridMultilevel"/>
    <w:tmpl w:val="7404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A5FAA"/>
    <w:multiLevelType w:val="hybridMultilevel"/>
    <w:tmpl w:val="6CC0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B0AF8"/>
    <w:multiLevelType w:val="hybridMultilevel"/>
    <w:tmpl w:val="06F2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1494"/>
    <w:multiLevelType w:val="hybridMultilevel"/>
    <w:tmpl w:val="32F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13"/>
  </w:num>
  <w:num w:numId="2" w16cid:durableId="212890797">
    <w:abstractNumId w:val="11"/>
  </w:num>
  <w:num w:numId="3" w16cid:durableId="533352411">
    <w:abstractNumId w:val="9"/>
  </w:num>
  <w:num w:numId="4" w16cid:durableId="1164276676">
    <w:abstractNumId w:val="1"/>
  </w:num>
  <w:num w:numId="5" w16cid:durableId="470440104">
    <w:abstractNumId w:val="10"/>
  </w:num>
  <w:num w:numId="6" w16cid:durableId="1684239117">
    <w:abstractNumId w:val="0"/>
  </w:num>
  <w:num w:numId="7" w16cid:durableId="1358047290">
    <w:abstractNumId w:val="16"/>
  </w:num>
  <w:num w:numId="8" w16cid:durableId="697851208">
    <w:abstractNumId w:val="19"/>
  </w:num>
  <w:num w:numId="9" w16cid:durableId="1965502599">
    <w:abstractNumId w:val="18"/>
  </w:num>
  <w:num w:numId="10" w16cid:durableId="435252333">
    <w:abstractNumId w:val="15"/>
  </w:num>
  <w:num w:numId="11" w16cid:durableId="2050061302">
    <w:abstractNumId w:val="21"/>
  </w:num>
  <w:num w:numId="12" w16cid:durableId="668754505">
    <w:abstractNumId w:val="14"/>
  </w:num>
  <w:num w:numId="13" w16cid:durableId="2023123196">
    <w:abstractNumId w:val="5"/>
  </w:num>
  <w:num w:numId="14" w16cid:durableId="1204365043">
    <w:abstractNumId w:val="20"/>
  </w:num>
  <w:num w:numId="15" w16cid:durableId="1563516575">
    <w:abstractNumId w:val="7"/>
  </w:num>
  <w:num w:numId="16" w16cid:durableId="112985387">
    <w:abstractNumId w:val="17"/>
  </w:num>
  <w:num w:numId="17" w16cid:durableId="1194688103">
    <w:abstractNumId w:val="2"/>
  </w:num>
  <w:num w:numId="18" w16cid:durableId="1864784986">
    <w:abstractNumId w:val="6"/>
  </w:num>
  <w:num w:numId="19" w16cid:durableId="326786005">
    <w:abstractNumId w:val="8"/>
  </w:num>
  <w:num w:numId="20" w16cid:durableId="369185954">
    <w:abstractNumId w:val="3"/>
  </w:num>
  <w:num w:numId="21" w16cid:durableId="1303536658">
    <w:abstractNumId w:val="12"/>
  </w:num>
  <w:num w:numId="22" w16cid:durableId="1792896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03A78"/>
    <w:rsid w:val="00012611"/>
    <w:rsid w:val="00017A62"/>
    <w:rsid w:val="00024B9E"/>
    <w:rsid w:val="000301AA"/>
    <w:rsid w:val="00052D60"/>
    <w:rsid w:val="00066AF8"/>
    <w:rsid w:val="0008601A"/>
    <w:rsid w:val="00087C30"/>
    <w:rsid w:val="000A1966"/>
    <w:rsid w:val="000A4CD6"/>
    <w:rsid w:val="000B527C"/>
    <w:rsid w:val="000B5A8A"/>
    <w:rsid w:val="000C56FD"/>
    <w:rsid w:val="000E36BC"/>
    <w:rsid w:val="000F1888"/>
    <w:rsid w:val="000F627F"/>
    <w:rsid w:val="000F710D"/>
    <w:rsid w:val="000F7FB5"/>
    <w:rsid w:val="0010508D"/>
    <w:rsid w:val="0012173A"/>
    <w:rsid w:val="00122AA1"/>
    <w:rsid w:val="00130997"/>
    <w:rsid w:val="0013700A"/>
    <w:rsid w:val="00140E8B"/>
    <w:rsid w:val="00141B17"/>
    <w:rsid w:val="00144CCD"/>
    <w:rsid w:val="001479AD"/>
    <w:rsid w:val="00170BB2"/>
    <w:rsid w:val="001877E5"/>
    <w:rsid w:val="001A23C1"/>
    <w:rsid w:val="001B1EDA"/>
    <w:rsid w:val="001B59FB"/>
    <w:rsid w:val="001B5A9B"/>
    <w:rsid w:val="001B67FB"/>
    <w:rsid w:val="001C5D84"/>
    <w:rsid w:val="001D6632"/>
    <w:rsid w:val="001E2782"/>
    <w:rsid w:val="001F2EC2"/>
    <w:rsid w:val="00207D64"/>
    <w:rsid w:val="0023167E"/>
    <w:rsid w:val="00234BFF"/>
    <w:rsid w:val="00240FF6"/>
    <w:rsid w:val="00244D50"/>
    <w:rsid w:val="0027223B"/>
    <w:rsid w:val="00277085"/>
    <w:rsid w:val="00280CA2"/>
    <w:rsid w:val="00296496"/>
    <w:rsid w:val="00297854"/>
    <w:rsid w:val="002B1FB4"/>
    <w:rsid w:val="002E1514"/>
    <w:rsid w:val="002E60D7"/>
    <w:rsid w:val="00302517"/>
    <w:rsid w:val="00307FCA"/>
    <w:rsid w:val="003105FB"/>
    <w:rsid w:val="00311D05"/>
    <w:rsid w:val="0032278E"/>
    <w:rsid w:val="003349C7"/>
    <w:rsid w:val="003376C7"/>
    <w:rsid w:val="0034578D"/>
    <w:rsid w:val="0035100D"/>
    <w:rsid w:val="0035519D"/>
    <w:rsid w:val="00365324"/>
    <w:rsid w:val="00383CD5"/>
    <w:rsid w:val="00386582"/>
    <w:rsid w:val="00393571"/>
    <w:rsid w:val="00396F8B"/>
    <w:rsid w:val="003A4056"/>
    <w:rsid w:val="003B2D01"/>
    <w:rsid w:val="003B3B07"/>
    <w:rsid w:val="003B6936"/>
    <w:rsid w:val="003B6CE2"/>
    <w:rsid w:val="003C5E0E"/>
    <w:rsid w:val="003E003E"/>
    <w:rsid w:val="003E0FFE"/>
    <w:rsid w:val="003E417E"/>
    <w:rsid w:val="003F7544"/>
    <w:rsid w:val="00426C8C"/>
    <w:rsid w:val="00431F9F"/>
    <w:rsid w:val="00433F55"/>
    <w:rsid w:val="004355A3"/>
    <w:rsid w:val="00456B88"/>
    <w:rsid w:val="00465628"/>
    <w:rsid w:val="004672A6"/>
    <w:rsid w:val="00483EDC"/>
    <w:rsid w:val="00484CEB"/>
    <w:rsid w:val="004906DE"/>
    <w:rsid w:val="004A0F98"/>
    <w:rsid w:val="004A6EF1"/>
    <w:rsid w:val="004B6D15"/>
    <w:rsid w:val="004C5D17"/>
    <w:rsid w:val="004E2B16"/>
    <w:rsid w:val="005036B3"/>
    <w:rsid w:val="00506D7A"/>
    <w:rsid w:val="00510331"/>
    <w:rsid w:val="0051297F"/>
    <w:rsid w:val="00514194"/>
    <w:rsid w:val="00522303"/>
    <w:rsid w:val="005430C1"/>
    <w:rsid w:val="00552F95"/>
    <w:rsid w:val="005611B3"/>
    <w:rsid w:val="005702A7"/>
    <w:rsid w:val="00570C16"/>
    <w:rsid w:val="00580177"/>
    <w:rsid w:val="00584AF3"/>
    <w:rsid w:val="00591F3E"/>
    <w:rsid w:val="00597E99"/>
    <w:rsid w:val="005B6240"/>
    <w:rsid w:val="005C286E"/>
    <w:rsid w:val="005D6CAF"/>
    <w:rsid w:val="005E0ECD"/>
    <w:rsid w:val="005E7C99"/>
    <w:rsid w:val="005F5F22"/>
    <w:rsid w:val="00603835"/>
    <w:rsid w:val="0060411B"/>
    <w:rsid w:val="00615C3E"/>
    <w:rsid w:val="00621A61"/>
    <w:rsid w:val="0062391D"/>
    <w:rsid w:val="006248A5"/>
    <w:rsid w:val="00640C07"/>
    <w:rsid w:val="0064771F"/>
    <w:rsid w:val="0065103E"/>
    <w:rsid w:val="006568F4"/>
    <w:rsid w:val="00661D7E"/>
    <w:rsid w:val="0066411B"/>
    <w:rsid w:val="00693D4D"/>
    <w:rsid w:val="006A045A"/>
    <w:rsid w:val="006B2010"/>
    <w:rsid w:val="006C1D5F"/>
    <w:rsid w:val="006E0388"/>
    <w:rsid w:val="006E35EA"/>
    <w:rsid w:val="00714A70"/>
    <w:rsid w:val="0072767F"/>
    <w:rsid w:val="007312D6"/>
    <w:rsid w:val="00732B73"/>
    <w:rsid w:val="00754BC0"/>
    <w:rsid w:val="007564F9"/>
    <w:rsid w:val="00793913"/>
    <w:rsid w:val="007B1A11"/>
    <w:rsid w:val="007B1AB5"/>
    <w:rsid w:val="007D7BA8"/>
    <w:rsid w:val="007E0F8C"/>
    <w:rsid w:val="008167D9"/>
    <w:rsid w:val="00821765"/>
    <w:rsid w:val="00832BCA"/>
    <w:rsid w:val="00873ACD"/>
    <w:rsid w:val="00877F99"/>
    <w:rsid w:val="00885672"/>
    <w:rsid w:val="008A01E2"/>
    <w:rsid w:val="008A1870"/>
    <w:rsid w:val="008A40F7"/>
    <w:rsid w:val="008D3E74"/>
    <w:rsid w:val="008D7890"/>
    <w:rsid w:val="008F1D9F"/>
    <w:rsid w:val="00900F57"/>
    <w:rsid w:val="00910BED"/>
    <w:rsid w:val="00917C4D"/>
    <w:rsid w:val="0092175A"/>
    <w:rsid w:val="009303A5"/>
    <w:rsid w:val="00937E02"/>
    <w:rsid w:val="00952BF4"/>
    <w:rsid w:val="009536F9"/>
    <w:rsid w:val="00956894"/>
    <w:rsid w:val="00967827"/>
    <w:rsid w:val="00980E9E"/>
    <w:rsid w:val="009840DA"/>
    <w:rsid w:val="00987FF2"/>
    <w:rsid w:val="00991492"/>
    <w:rsid w:val="0099598B"/>
    <w:rsid w:val="009B0A16"/>
    <w:rsid w:val="009B44A0"/>
    <w:rsid w:val="009B44A1"/>
    <w:rsid w:val="009D1715"/>
    <w:rsid w:val="00A41D15"/>
    <w:rsid w:val="00A42F8B"/>
    <w:rsid w:val="00A4458A"/>
    <w:rsid w:val="00A61BA9"/>
    <w:rsid w:val="00A6425A"/>
    <w:rsid w:val="00A87322"/>
    <w:rsid w:val="00A90C9A"/>
    <w:rsid w:val="00A96290"/>
    <w:rsid w:val="00AC134A"/>
    <w:rsid w:val="00AC43A3"/>
    <w:rsid w:val="00AD3130"/>
    <w:rsid w:val="00AD7CEA"/>
    <w:rsid w:val="00AE6D77"/>
    <w:rsid w:val="00B02321"/>
    <w:rsid w:val="00B17E3C"/>
    <w:rsid w:val="00B221E7"/>
    <w:rsid w:val="00B457B3"/>
    <w:rsid w:val="00B470E6"/>
    <w:rsid w:val="00B657ED"/>
    <w:rsid w:val="00B74C75"/>
    <w:rsid w:val="00B92FE1"/>
    <w:rsid w:val="00BA2475"/>
    <w:rsid w:val="00BC7FEE"/>
    <w:rsid w:val="00BD3CF3"/>
    <w:rsid w:val="00BE272B"/>
    <w:rsid w:val="00BF095B"/>
    <w:rsid w:val="00C24510"/>
    <w:rsid w:val="00C25D01"/>
    <w:rsid w:val="00C31FDB"/>
    <w:rsid w:val="00C355E7"/>
    <w:rsid w:val="00C52142"/>
    <w:rsid w:val="00C5522F"/>
    <w:rsid w:val="00C55282"/>
    <w:rsid w:val="00C633D5"/>
    <w:rsid w:val="00C65630"/>
    <w:rsid w:val="00CB146B"/>
    <w:rsid w:val="00CB4519"/>
    <w:rsid w:val="00CD3BC8"/>
    <w:rsid w:val="00CE0368"/>
    <w:rsid w:val="00CE117E"/>
    <w:rsid w:val="00CE204F"/>
    <w:rsid w:val="00CF7AC3"/>
    <w:rsid w:val="00D213D7"/>
    <w:rsid w:val="00D43086"/>
    <w:rsid w:val="00D547B8"/>
    <w:rsid w:val="00D565F1"/>
    <w:rsid w:val="00D76526"/>
    <w:rsid w:val="00D90430"/>
    <w:rsid w:val="00D90D77"/>
    <w:rsid w:val="00D93A03"/>
    <w:rsid w:val="00DD2E64"/>
    <w:rsid w:val="00DD6C54"/>
    <w:rsid w:val="00DF3068"/>
    <w:rsid w:val="00E11090"/>
    <w:rsid w:val="00E13034"/>
    <w:rsid w:val="00E17C4B"/>
    <w:rsid w:val="00E26FA0"/>
    <w:rsid w:val="00E3549A"/>
    <w:rsid w:val="00E35829"/>
    <w:rsid w:val="00E372A5"/>
    <w:rsid w:val="00E4012B"/>
    <w:rsid w:val="00E407F6"/>
    <w:rsid w:val="00E44EDE"/>
    <w:rsid w:val="00E94412"/>
    <w:rsid w:val="00E97F26"/>
    <w:rsid w:val="00EB4A72"/>
    <w:rsid w:val="00EC7AFC"/>
    <w:rsid w:val="00ED0C6C"/>
    <w:rsid w:val="00ED4F76"/>
    <w:rsid w:val="00EE1C80"/>
    <w:rsid w:val="00EE2213"/>
    <w:rsid w:val="00EE67D0"/>
    <w:rsid w:val="00EF5A13"/>
    <w:rsid w:val="00F05A20"/>
    <w:rsid w:val="00F11589"/>
    <w:rsid w:val="00F30E6D"/>
    <w:rsid w:val="00F31A08"/>
    <w:rsid w:val="00F33A48"/>
    <w:rsid w:val="00F40E14"/>
    <w:rsid w:val="00F511A3"/>
    <w:rsid w:val="00F5717A"/>
    <w:rsid w:val="00F62C8D"/>
    <w:rsid w:val="00F63D02"/>
    <w:rsid w:val="00F87815"/>
    <w:rsid w:val="00FC459E"/>
    <w:rsid w:val="00FC7A2D"/>
    <w:rsid w:val="00FD18D1"/>
    <w:rsid w:val="00FD3285"/>
    <w:rsid w:val="00FE32CA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1D7E"/>
  <w15:chartTrackingRefBased/>
  <w15:docId w15:val="{4A67C12A-7BBC-43EE-9135-8E9FBDB8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CD"/>
  </w:style>
  <w:style w:type="paragraph" w:styleId="Footer">
    <w:name w:val="footer"/>
    <w:basedOn w:val="Normal"/>
    <w:link w:val="Foot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wansea.ac.uk/undergraduate/courses/medicine/pharmacy-mpharm-h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careers.nhs.uk/explore-roles/pharmacy/roles-pharmacy/pharmacist/pharmac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C013F-6AF4-4171-A7B4-1E0473BC7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886FB-0BF7-4C6D-9BB6-09D797824DED}">
  <ds:schemaRefs>
    <ds:schemaRef ds:uri="db3bd49b-6469-4f83-9a7a-f8009a209f8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e8b8a0e-d8b5-4681-859f-a8e96dad8061"/>
  </ds:schemaRefs>
</ds:datastoreItem>
</file>

<file path=customXml/itemProps3.xml><?xml version="1.0" encoding="utf-8"?>
<ds:datastoreItem xmlns:ds="http://schemas.openxmlformats.org/officeDocument/2006/customXml" ds:itemID="{63F0A105-31CB-4329-B999-D07331C79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Links>
    <vt:vector size="36" baseType="variant">
      <vt:variant>
        <vt:i4>1966150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https://www.healthcareers.nhs.uk/explore-roles/pharmacy/roles-pharmacy/pharmacist/pharmacist</vt:lpwstr>
      </vt:variant>
      <vt:variant>
        <vt:lpwstr/>
      </vt:variant>
      <vt:variant>
        <vt:i4>7143539</vt:i4>
      </vt:variant>
      <vt:variant>
        <vt:i4>9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https://www.swansea.ac.uk/international-students/my-finances/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https://www.swansea.ac.uk/undergraduate/courses/medicine/pharmacy-mpharm-hons/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4</cp:revision>
  <dcterms:created xsi:type="dcterms:W3CDTF">2023-10-05T10:33:00Z</dcterms:created>
  <dcterms:modified xsi:type="dcterms:W3CDTF">2023-10-05T10:34:00Z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