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ContentControlPaperNo"/>
        </w:rPr>
        <w:alias w:val="Paper No."/>
        <w:tag w:val="Paper No."/>
        <w:id w:val="-536286491"/>
        <w:placeholder>
          <w:docPart w:val="4D0B3A51C0ED4C339F5E16BF8F5CFE5E"/>
        </w:placeholder>
      </w:sdtPr>
      <w:sdtEndPr>
        <w:rPr>
          <w:rStyle w:val="DefaultParagraphFont"/>
          <w:rFonts w:cs="Segoe UI"/>
          <w:b/>
          <w:bCs/>
        </w:rPr>
      </w:sdtEndPr>
      <w:sdtContent>
        <w:p w14:paraId="780750C8" w14:textId="77777777" w:rsidR="00D74AB4" w:rsidRPr="00D74AB4" w:rsidRDefault="00D74AB4" w:rsidP="00D74AB4">
          <w:pPr>
            <w:spacing w:after="0" w:line="240" w:lineRule="auto"/>
            <w:jc w:val="right"/>
            <w:rPr>
              <w:rFonts w:cs="Segoe UI"/>
              <w:b/>
              <w:bCs/>
            </w:rPr>
          </w:pPr>
          <w:r w:rsidRPr="00D74AB4">
            <w:rPr>
              <w:rStyle w:val="ContentControlPaperNo"/>
              <w:b/>
              <w:bCs/>
            </w:rPr>
            <w:t>P2425-93</w:t>
          </w:r>
        </w:p>
      </w:sdtContent>
    </w:sdt>
    <w:p w14:paraId="68CBB1E0" w14:textId="3CA1B79F" w:rsidR="008033C1" w:rsidRPr="00CC6A13" w:rsidRDefault="00D20DB8" w:rsidP="000E1131">
      <w:pPr>
        <w:spacing w:after="0" w:line="240" w:lineRule="auto"/>
        <w:ind w:right="-330"/>
        <w:rPr>
          <w:rFonts w:asciiTheme="minorHAnsi" w:hAnsiTheme="minorHAnsi" w:cstheme="minorHAnsi"/>
          <w:b/>
          <w:bCs/>
        </w:rPr>
      </w:pPr>
      <w:r w:rsidRPr="00CC6A13">
        <w:rPr>
          <w:rFonts w:asciiTheme="minorHAnsi" w:hAnsiTheme="minorHAnsi" w:cstheme="minorHAnsi"/>
          <w:b/>
          <w:bCs/>
        </w:rPr>
        <w:t>ANNUAL REMUNERATION STATEMENT FOR YEAR ENDED 31 JULY 202</w:t>
      </w:r>
      <w:r w:rsidR="00472442" w:rsidRPr="00CC6A13">
        <w:rPr>
          <w:rFonts w:asciiTheme="minorHAnsi" w:hAnsiTheme="minorHAnsi" w:cstheme="minorHAnsi"/>
          <w:b/>
          <w:bCs/>
        </w:rPr>
        <w:t>4</w:t>
      </w:r>
    </w:p>
    <w:p w14:paraId="4C5C1F1D" w14:textId="77777777" w:rsidR="001C4ADC" w:rsidRPr="00CC6A13" w:rsidRDefault="001C4ADC" w:rsidP="000E1131">
      <w:pPr>
        <w:spacing w:after="0" w:line="240" w:lineRule="auto"/>
        <w:ind w:right="-330"/>
        <w:rPr>
          <w:rFonts w:asciiTheme="minorHAnsi" w:hAnsiTheme="minorHAnsi" w:cstheme="minorHAnsi"/>
          <w:b/>
          <w:bCs/>
        </w:rPr>
      </w:pPr>
    </w:p>
    <w:p w14:paraId="1C03B2E4" w14:textId="54473F81" w:rsidR="008033C1" w:rsidRPr="00CC6A13" w:rsidRDefault="00BA3FE9" w:rsidP="000E1131">
      <w:pPr>
        <w:spacing w:after="0" w:line="240" w:lineRule="auto"/>
        <w:ind w:right="-330"/>
        <w:rPr>
          <w:rFonts w:asciiTheme="minorHAnsi" w:hAnsiTheme="minorHAnsi" w:cstheme="minorHAnsi"/>
          <w:b/>
          <w:bCs/>
        </w:rPr>
      </w:pPr>
      <w:r w:rsidRPr="00CC6A13">
        <w:rPr>
          <w:rFonts w:asciiTheme="minorHAnsi" w:hAnsiTheme="minorHAnsi" w:cstheme="minorHAnsi"/>
          <w:b/>
          <w:bCs/>
        </w:rPr>
        <w:t xml:space="preserve">Introduction </w:t>
      </w:r>
    </w:p>
    <w:p w14:paraId="17B861A2" w14:textId="77777777" w:rsidR="001C4ADC" w:rsidRPr="00CC6A13" w:rsidRDefault="001C4ADC" w:rsidP="000E1131">
      <w:pPr>
        <w:spacing w:after="0" w:line="240" w:lineRule="auto"/>
        <w:ind w:right="-330"/>
        <w:rPr>
          <w:rFonts w:asciiTheme="minorHAnsi" w:hAnsiTheme="minorHAnsi" w:cstheme="minorHAnsi"/>
        </w:rPr>
      </w:pPr>
    </w:p>
    <w:p w14:paraId="54F28E72" w14:textId="31C77499" w:rsidR="008033C1" w:rsidRPr="00CC6A13" w:rsidRDefault="00BA3FE9" w:rsidP="000E1131">
      <w:pPr>
        <w:spacing w:after="0" w:line="240" w:lineRule="auto"/>
        <w:ind w:right="-330"/>
        <w:jc w:val="both"/>
        <w:rPr>
          <w:rFonts w:asciiTheme="minorHAnsi" w:hAnsiTheme="minorHAnsi" w:cstheme="minorHAnsi"/>
        </w:rPr>
      </w:pPr>
      <w:r w:rsidRPr="00CC6A13">
        <w:rPr>
          <w:rFonts w:asciiTheme="minorHAnsi" w:hAnsiTheme="minorHAnsi" w:cstheme="minorHAnsi"/>
        </w:rPr>
        <w:t xml:space="preserve">The Remuneration Committee is responsible for </w:t>
      </w:r>
      <w:r w:rsidR="000556F8" w:rsidRPr="00CC6A13">
        <w:rPr>
          <w:rFonts w:asciiTheme="minorHAnsi" w:hAnsiTheme="minorHAnsi" w:cstheme="minorHAnsi"/>
          <w:color w:val="333333"/>
          <w:lang w:val="en"/>
        </w:rPr>
        <w:t>overseeing and scrutinising the Reward Strategy of the University</w:t>
      </w:r>
      <w:r w:rsidR="000556F8" w:rsidRPr="00CC6A13" w:rsidDel="000556F8">
        <w:rPr>
          <w:rFonts w:asciiTheme="minorHAnsi" w:hAnsiTheme="minorHAnsi" w:cstheme="minorHAnsi"/>
        </w:rPr>
        <w:t xml:space="preserve"> </w:t>
      </w:r>
      <w:r w:rsidRPr="00CC6A13">
        <w:rPr>
          <w:rFonts w:asciiTheme="minorHAnsi" w:hAnsiTheme="minorHAnsi" w:cstheme="minorHAnsi"/>
        </w:rPr>
        <w:t xml:space="preserve">and for </w:t>
      </w:r>
      <w:r w:rsidR="000556F8" w:rsidRPr="00CC6A13">
        <w:rPr>
          <w:rFonts w:asciiTheme="minorHAnsi" w:hAnsiTheme="minorHAnsi" w:cstheme="minorHAnsi"/>
        </w:rPr>
        <w:t>developing an overall reward strategy and policy to cover the remuneration, benefits and conditions of employment of the senior employees of the University on Grade 11 and those who report directly to members of the Senior Leadership Team</w:t>
      </w:r>
      <w:r w:rsidRPr="00CC6A13">
        <w:rPr>
          <w:rFonts w:asciiTheme="minorHAnsi" w:hAnsiTheme="minorHAnsi" w:cstheme="minorHAnsi"/>
        </w:rPr>
        <w:t>.</w:t>
      </w:r>
      <w:r w:rsidR="00F905C7" w:rsidRPr="00CC6A13">
        <w:rPr>
          <w:rFonts w:asciiTheme="minorHAnsi" w:hAnsiTheme="minorHAnsi" w:cstheme="minorHAnsi"/>
        </w:rPr>
        <w:t xml:space="preserve"> </w:t>
      </w:r>
      <w:r w:rsidRPr="00CC6A13">
        <w:rPr>
          <w:rFonts w:asciiTheme="minorHAnsi" w:hAnsiTheme="minorHAnsi" w:cstheme="minorHAnsi"/>
        </w:rPr>
        <w:t xml:space="preserve">The Committee’s </w:t>
      </w:r>
      <w:r w:rsidR="00642A6D" w:rsidRPr="00CC6A13">
        <w:rPr>
          <w:rFonts w:asciiTheme="minorHAnsi" w:hAnsiTheme="minorHAnsi" w:cstheme="minorHAnsi"/>
          <w:color w:val="2F5496" w:themeColor="accent1" w:themeShade="BF"/>
        </w:rPr>
        <w:t xml:space="preserve">Terms of Reference </w:t>
      </w:r>
      <w:r w:rsidRPr="00CC6A13">
        <w:rPr>
          <w:rFonts w:asciiTheme="minorHAnsi" w:hAnsiTheme="minorHAnsi" w:cstheme="minorHAnsi"/>
        </w:rPr>
        <w:t xml:space="preserve">are published on the University’s website and are </w:t>
      </w:r>
      <w:r w:rsidR="00C930E8" w:rsidRPr="00CC6A13">
        <w:rPr>
          <w:rFonts w:asciiTheme="minorHAnsi" w:hAnsiTheme="minorHAnsi" w:cstheme="minorHAnsi"/>
        </w:rPr>
        <w:t xml:space="preserve">normally </w:t>
      </w:r>
      <w:r w:rsidRPr="00CC6A13">
        <w:rPr>
          <w:rFonts w:asciiTheme="minorHAnsi" w:hAnsiTheme="minorHAnsi" w:cstheme="minorHAnsi"/>
        </w:rPr>
        <w:t xml:space="preserve">reviewed annually. </w:t>
      </w:r>
    </w:p>
    <w:p w14:paraId="1594C5B4" w14:textId="77777777" w:rsidR="001C4ADC" w:rsidRPr="00CC6A13" w:rsidRDefault="001C4ADC" w:rsidP="000E1131">
      <w:pPr>
        <w:spacing w:after="0" w:line="240" w:lineRule="auto"/>
        <w:ind w:right="-330"/>
        <w:rPr>
          <w:rFonts w:asciiTheme="minorHAnsi" w:hAnsiTheme="minorHAnsi" w:cstheme="minorHAnsi"/>
        </w:rPr>
      </w:pPr>
    </w:p>
    <w:p w14:paraId="5614D58F" w14:textId="414EEBF6" w:rsidR="006D552D" w:rsidRPr="00CC6A13" w:rsidRDefault="00BA3FE9" w:rsidP="000E1131">
      <w:pPr>
        <w:spacing w:after="0" w:line="240" w:lineRule="auto"/>
        <w:ind w:right="-330"/>
        <w:jc w:val="both"/>
        <w:rPr>
          <w:rFonts w:asciiTheme="minorHAnsi" w:hAnsiTheme="minorHAnsi" w:cstheme="minorHAnsi"/>
        </w:rPr>
      </w:pPr>
      <w:r w:rsidRPr="00CC6A13">
        <w:rPr>
          <w:rFonts w:asciiTheme="minorHAnsi" w:hAnsiTheme="minorHAnsi" w:cstheme="minorHAnsi"/>
        </w:rPr>
        <w:t>The Remuneration Committee comprises independent lay members of Council who possess relevant knowledge and expertise.</w:t>
      </w:r>
      <w:r w:rsidR="00F905C7" w:rsidRPr="00CC6A13">
        <w:rPr>
          <w:rFonts w:asciiTheme="minorHAnsi" w:hAnsiTheme="minorHAnsi" w:cstheme="minorHAnsi"/>
        </w:rPr>
        <w:t xml:space="preserve"> </w:t>
      </w:r>
      <w:r w:rsidRPr="00CC6A13">
        <w:rPr>
          <w:rFonts w:asciiTheme="minorHAnsi" w:hAnsiTheme="minorHAnsi" w:cstheme="minorHAnsi"/>
        </w:rPr>
        <w:t>Members of the Remuneration Committee are appointed by Council on the recommendation of the Governance and Nominations Committee</w:t>
      </w:r>
      <w:r w:rsidR="007C7CAB" w:rsidRPr="00CC6A13">
        <w:rPr>
          <w:rFonts w:asciiTheme="minorHAnsi" w:hAnsiTheme="minorHAnsi" w:cstheme="minorHAnsi"/>
        </w:rPr>
        <w:t>.</w:t>
      </w:r>
      <w:r w:rsidRPr="00CC6A13">
        <w:rPr>
          <w:rFonts w:asciiTheme="minorHAnsi" w:hAnsiTheme="minorHAnsi" w:cstheme="minorHAnsi"/>
        </w:rPr>
        <w:t xml:space="preserve"> </w:t>
      </w:r>
      <w:r w:rsidR="00C930E8" w:rsidRPr="00CC6A13">
        <w:rPr>
          <w:rFonts w:asciiTheme="minorHAnsi" w:hAnsiTheme="minorHAnsi" w:cstheme="minorHAnsi"/>
        </w:rPr>
        <w:t xml:space="preserve">The Chair of the </w:t>
      </w:r>
      <w:r w:rsidR="006D552D" w:rsidRPr="00CC6A13">
        <w:rPr>
          <w:rFonts w:asciiTheme="minorHAnsi" w:hAnsiTheme="minorHAnsi" w:cstheme="minorHAnsi"/>
        </w:rPr>
        <w:t>Committee submits regular updates to the University Council which is the governing body of the University</w:t>
      </w:r>
      <w:r w:rsidR="00F905C7" w:rsidRPr="00CC6A13">
        <w:rPr>
          <w:rFonts w:asciiTheme="minorHAnsi" w:hAnsiTheme="minorHAnsi" w:cstheme="minorHAnsi"/>
        </w:rPr>
        <w:t>.</w:t>
      </w:r>
    </w:p>
    <w:p w14:paraId="21395E79" w14:textId="77777777" w:rsidR="001C4ADC" w:rsidRPr="00CC6A13" w:rsidRDefault="001C4ADC" w:rsidP="000E1131">
      <w:pPr>
        <w:spacing w:after="0" w:line="240" w:lineRule="auto"/>
        <w:ind w:right="-330"/>
        <w:rPr>
          <w:rFonts w:asciiTheme="minorHAnsi" w:hAnsiTheme="minorHAnsi" w:cstheme="minorHAnsi"/>
        </w:rPr>
      </w:pPr>
    </w:p>
    <w:p w14:paraId="21A31327" w14:textId="661A5743" w:rsidR="008033C1" w:rsidRPr="00CC6A13" w:rsidRDefault="00BA3FE9" w:rsidP="000E1131">
      <w:pPr>
        <w:spacing w:after="0" w:line="240" w:lineRule="auto"/>
        <w:ind w:right="-330"/>
        <w:jc w:val="both"/>
        <w:rPr>
          <w:rFonts w:asciiTheme="minorHAnsi" w:hAnsiTheme="minorHAnsi" w:cstheme="minorHAnsi"/>
        </w:rPr>
      </w:pPr>
      <w:r w:rsidRPr="00CC6A13">
        <w:rPr>
          <w:rFonts w:asciiTheme="minorHAnsi" w:hAnsiTheme="minorHAnsi" w:cstheme="minorHAnsi"/>
        </w:rPr>
        <w:t xml:space="preserve">The Remuneration Committee ensures a fair process which reflects the performance of </w:t>
      </w:r>
      <w:proofErr w:type="gramStart"/>
      <w:r w:rsidRPr="00CC6A13">
        <w:rPr>
          <w:rFonts w:asciiTheme="minorHAnsi" w:hAnsiTheme="minorHAnsi" w:cstheme="minorHAnsi"/>
        </w:rPr>
        <w:t>each individual</w:t>
      </w:r>
      <w:proofErr w:type="gramEnd"/>
      <w:r w:rsidRPr="00CC6A13">
        <w:rPr>
          <w:rFonts w:asciiTheme="minorHAnsi" w:hAnsiTheme="minorHAnsi" w:cstheme="minorHAnsi"/>
        </w:rPr>
        <w:t xml:space="preserve"> in the context of the University’s performance.</w:t>
      </w:r>
      <w:r w:rsidR="00F905C7" w:rsidRPr="00CC6A13">
        <w:rPr>
          <w:rFonts w:asciiTheme="minorHAnsi" w:hAnsiTheme="minorHAnsi" w:cstheme="minorHAnsi"/>
        </w:rPr>
        <w:t xml:space="preserve"> </w:t>
      </w:r>
    </w:p>
    <w:p w14:paraId="1F6A7471" w14:textId="77777777" w:rsidR="001C4ADC" w:rsidRPr="00CC6A13" w:rsidRDefault="001C4ADC" w:rsidP="000E1131">
      <w:pPr>
        <w:spacing w:after="0" w:line="240" w:lineRule="auto"/>
        <w:ind w:right="-330"/>
        <w:rPr>
          <w:rFonts w:asciiTheme="minorHAnsi" w:hAnsiTheme="minorHAnsi" w:cstheme="minorHAnsi"/>
        </w:rPr>
      </w:pPr>
    </w:p>
    <w:p w14:paraId="082285D4" w14:textId="28759548" w:rsidR="008033C1" w:rsidRPr="00CC6A13" w:rsidRDefault="00BA3FE9" w:rsidP="000E1131">
      <w:pPr>
        <w:spacing w:after="0" w:line="240" w:lineRule="auto"/>
        <w:ind w:right="-330"/>
        <w:jc w:val="both"/>
        <w:rPr>
          <w:rFonts w:asciiTheme="minorHAnsi" w:hAnsiTheme="minorHAnsi" w:cstheme="minorHAnsi"/>
        </w:rPr>
      </w:pPr>
      <w:r w:rsidRPr="00CC6A13">
        <w:rPr>
          <w:rFonts w:asciiTheme="minorHAnsi" w:hAnsiTheme="minorHAnsi" w:cstheme="minorHAnsi"/>
        </w:rPr>
        <w:t>The Remuneration Committee takes account of affordability and comparative information on the remuneration, benefits and conditions of employment in the University sector, and wider where appropriate.</w:t>
      </w:r>
      <w:r w:rsidR="00F905C7" w:rsidRPr="00CC6A13">
        <w:rPr>
          <w:rFonts w:asciiTheme="minorHAnsi" w:hAnsiTheme="minorHAnsi" w:cstheme="minorHAnsi"/>
        </w:rPr>
        <w:t xml:space="preserve"> </w:t>
      </w:r>
    </w:p>
    <w:p w14:paraId="2AFBA5C4" w14:textId="77777777" w:rsidR="001C4ADC" w:rsidRPr="00CC6A13" w:rsidRDefault="001C4ADC" w:rsidP="000E1131">
      <w:pPr>
        <w:spacing w:after="0" w:line="240" w:lineRule="auto"/>
        <w:ind w:right="-330"/>
        <w:rPr>
          <w:rFonts w:asciiTheme="minorHAnsi" w:hAnsiTheme="minorHAnsi" w:cstheme="minorHAnsi"/>
        </w:rPr>
      </w:pPr>
    </w:p>
    <w:p w14:paraId="2F74D482" w14:textId="5201D2AA" w:rsidR="008033C1" w:rsidRPr="00CC6A13" w:rsidRDefault="00BA3FE9" w:rsidP="000E1131">
      <w:pPr>
        <w:spacing w:after="0" w:line="240" w:lineRule="auto"/>
        <w:ind w:right="-330"/>
        <w:jc w:val="both"/>
        <w:rPr>
          <w:rFonts w:asciiTheme="minorHAnsi" w:hAnsiTheme="minorHAnsi" w:cstheme="minorHAnsi"/>
        </w:rPr>
      </w:pPr>
      <w:r w:rsidRPr="00CC6A13">
        <w:rPr>
          <w:rFonts w:asciiTheme="minorHAnsi" w:hAnsiTheme="minorHAnsi" w:cstheme="minorHAnsi"/>
        </w:rPr>
        <w:t xml:space="preserve">In determining the remuneration awarded, the Remuneration Committee considers the University’s approach taken to recognising performance for all roles in scope and refers to sector benchmarking information provided from the UCEA Senior Salary Survey. </w:t>
      </w:r>
    </w:p>
    <w:p w14:paraId="5EDF5515" w14:textId="77777777" w:rsidR="001C4ADC" w:rsidRPr="00CC6A13" w:rsidRDefault="001C4ADC" w:rsidP="000E1131">
      <w:pPr>
        <w:spacing w:after="0" w:line="240" w:lineRule="auto"/>
        <w:ind w:right="-330"/>
        <w:rPr>
          <w:rFonts w:asciiTheme="minorHAnsi" w:hAnsiTheme="minorHAnsi" w:cstheme="minorHAnsi"/>
        </w:rPr>
      </w:pPr>
    </w:p>
    <w:p w14:paraId="30094570" w14:textId="13131A29" w:rsidR="008033C1" w:rsidRPr="00CC6A13" w:rsidRDefault="00BA3FE9" w:rsidP="000E1131">
      <w:pPr>
        <w:spacing w:after="0" w:line="240" w:lineRule="auto"/>
        <w:ind w:right="-330"/>
        <w:jc w:val="both"/>
        <w:rPr>
          <w:rFonts w:asciiTheme="minorHAnsi" w:hAnsiTheme="minorHAnsi" w:cstheme="minorHAnsi"/>
        </w:rPr>
      </w:pPr>
      <w:r w:rsidRPr="00CC6A13">
        <w:rPr>
          <w:rFonts w:asciiTheme="minorHAnsi" w:hAnsiTheme="minorHAnsi" w:cstheme="minorHAnsi"/>
        </w:rPr>
        <w:t xml:space="preserve">The Remuneration Committee ensures that it complies with the requirements of the Committee of University Chairs (CUC) Higher Education Senior Staff Remuneration Code. </w:t>
      </w:r>
    </w:p>
    <w:p w14:paraId="278DB953" w14:textId="77777777" w:rsidR="00E03A06" w:rsidRPr="00CC6A13" w:rsidRDefault="00E03A06" w:rsidP="000E1131">
      <w:pPr>
        <w:spacing w:after="0" w:line="240" w:lineRule="auto"/>
        <w:ind w:right="-330"/>
        <w:rPr>
          <w:rFonts w:asciiTheme="minorHAnsi" w:hAnsiTheme="minorHAnsi" w:cstheme="minorHAnsi"/>
        </w:rPr>
      </w:pPr>
    </w:p>
    <w:p w14:paraId="6EB994BA" w14:textId="348785F0" w:rsidR="008033C1" w:rsidRPr="00CC6A13" w:rsidRDefault="00BA3FE9" w:rsidP="000E1131">
      <w:pPr>
        <w:spacing w:after="0" w:line="240" w:lineRule="auto"/>
        <w:ind w:right="-330"/>
        <w:jc w:val="both"/>
        <w:rPr>
          <w:rFonts w:asciiTheme="minorHAnsi" w:hAnsiTheme="minorHAnsi" w:cstheme="minorHAnsi"/>
        </w:rPr>
      </w:pPr>
      <w:r w:rsidRPr="00CC6A13">
        <w:rPr>
          <w:rFonts w:asciiTheme="minorHAnsi" w:hAnsiTheme="minorHAnsi" w:cstheme="minorHAnsi"/>
        </w:rPr>
        <w:t xml:space="preserve">In-line with the CUC Higher Education Senior Staff Remuneration Code, and to ensure a fair and transparent process, remuneration for </w:t>
      </w:r>
      <w:r w:rsidR="00377883" w:rsidRPr="00CC6A13">
        <w:rPr>
          <w:rFonts w:asciiTheme="minorHAnsi" w:hAnsiTheme="minorHAnsi" w:cstheme="minorHAnsi"/>
        </w:rPr>
        <w:t xml:space="preserve">members of the </w:t>
      </w:r>
      <w:r w:rsidR="00377883" w:rsidRPr="00CC6A13">
        <w:rPr>
          <w:rFonts w:asciiTheme="minorHAnsi" w:hAnsiTheme="minorHAnsi" w:cstheme="minorHAnsi"/>
          <w:color w:val="000000" w:themeColor="text1"/>
        </w:rPr>
        <w:t>Senior Leadership Team (including the Vice</w:t>
      </w:r>
      <w:r w:rsidR="00F905C7" w:rsidRPr="00CC6A13">
        <w:rPr>
          <w:rFonts w:asciiTheme="minorHAnsi" w:hAnsiTheme="minorHAnsi" w:cstheme="minorHAnsi"/>
          <w:color w:val="000000" w:themeColor="text1"/>
        </w:rPr>
        <w:noBreakHyphen/>
      </w:r>
      <w:r w:rsidR="00377883" w:rsidRPr="00CC6A13">
        <w:rPr>
          <w:rFonts w:asciiTheme="minorHAnsi" w:hAnsiTheme="minorHAnsi" w:cstheme="minorHAnsi"/>
          <w:color w:val="000000" w:themeColor="text1"/>
        </w:rPr>
        <w:t>Chancellor)</w:t>
      </w:r>
      <w:r w:rsidR="009C54E4" w:rsidRPr="00CC6A13">
        <w:rPr>
          <w:rFonts w:asciiTheme="minorHAnsi" w:hAnsiTheme="minorHAnsi" w:cstheme="minorHAnsi"/>
          <w:color w:val="000000" w:themeColor="text1"/>
        </w:rPr>
        <w:t xml:space="preserve"> and their direct reports</w:t>
      </w:r>
      <w:r w:rsidR="00377883" w:rsidRPr="00CC6A13">
        <w:rPr>
          <w:rFonts w:asciiTheme="minorHAnsi" w:hAnsiTheme="minorHAnsi" w:cstheme="minorHAnsi"/>
          <w:color w:val="000000" w:themeColor="text1"/>
        </w:rPr>
        <w:t>, Grade 11 (including Professional Services Directors and Professors) and Grade 10A colleagues</w:t>
      </w:r>
      <w:r w:rsidRPr="00CC6A13">
        <w:rPr>
          <w:rFonts w:asciiTheme="minorHAnsi" w:hAnsiTheme="minorHAnsi" w:cstheme="minorHAnsi"/>
        </w:rPr>
        <w:t xml:space="preserve"> is reviewed annually, using a fair process that reflects the performance of </w:t>
      </w:r>
      <w:proofErr w:type="gramStart"/>
      <w:r w:rsidRPr="00CC6A13">
        <w:rPr>
          <w:rFonts w:asciiTheme="minorHAnsi" w:hAnsiTheme="minorHAnsi" w:cstheme="minorHAnsi"/>
        </w:rPr>
        <w:t>each individual</w:t>
      </w:r>
      <w:proofErr w:type="gramEnd"/>
      <w:r w:rsidRPr="00CC6A13">
        <w:rPr>
          <w:rFonts w:asciiTheme="minorHAnsi" w:hAnsiTheme="minorHAnsi" w:cstheme="minorHAnsi"/>
        </w:rPr>
        <w:t xml:space="preserve"> in the context of the University’s performance.</w:t>
      </w:r>
      <w:r w:rsidR="00F905C7" w:rsidRPr="00CC6A13">
        <w:rPr>
          <w:rFonts w:asciiTheme="minorHAnsi" w:hAnsiTheme="minorHAnsi" w:cstheme="minorHAnsi"/>
        </w:rPr>
        <w:t xml:space="preserve"> </w:t>
      </w:r>
    </w:p>
    <w:p w14:paraId="1E443AD5" w14:textId="77777777" w:rsidR="001C4ADC" w:rsidRPr="00CC6A13" w:rsidRDefault="001C4ADC" w:rsidP="000E1131">
      <w:pPr>
        <w:spacing w:after="0" w:line="240" w:lineRule="auto"/>
        <w:ind w:right="-330"/>
        <w:rPr>
          <w:rFonts w:asciiTheme="minorHAnsi" w:hAnsiTheme="minorHAnsi" w:cstheme="minorHAnsi"/>
        </w:rPr>
      </w:pPr>
    </w:p>
    <w:p w14:paraId="68DA2BE1" w14:textId="79128D63" w:rsidR="008033C1" w:rsidRPr="00CC6A13" w:rsidRDefault="00BA3FE9" w:rsidP="000E1131">
      <w:pPr>
        <w:spacing w:after="0" w:line="240" w:lineRule="auto"/>
        <w:ind w:right="-330"/>
        <w:jc w:val="both"/>
        <w:rPr>
          <w:rFonts w:asciiTheme="minorHAnsi" w:hAnsiTheme="minorHAnsi" w:cstheme="minorHAnsi"/>
        </w:rPr>
      </w:pPr>
      <w:r w:rsidRPr="00CC6A13">
        <w:rPr>
          <w:rFonts w:asciiTheme="minorHAnsi" w:hAnsiTheme="minorHAnsi" w:cstheme="minorHAnsi"/>
        </w:rPr>
        <w:t>The CUC Higher Education Senior Staff Remuneration Code is key to the success and development of the UK’s HE sector, operating as it does in an intensively competitive global environment.</w:t>
      </w:r>
      <w:r w:rsidR="00F905C7" w:rsidRPr="00CC6A13">
        <w:rPr>
          <w:rFonts w:asciiTheme="minorHAnsi" w:hAnsiTheme="minorHAnsi" w:cstheme="minorHAnsi"/>
        </w:rPr>
        <w:t xml:space="preserve"> </w:t>
      </w:r>
      <w:r w:rsidRPr="00CC6A13">
        <w:rPr>
          <w:rFonts w:asciiTheme="minorHAnsi" w:hAnsiTheme="minorHAnsi" w:cstheme="minorHAnsi"/>
        </w:rPr>
        <w:t>This requires three key elements:</w:t>
      </w:r>
    </w:p>
    <w:p w14:paraId="3E12D930" w14:textId="77777777" w:rsidR="001C4ADC" w:rsidRPr="00CC6A13" w:rsidRDefault="001C4ADC" w:rsidP="000E1131">
      <w:pPr>
        <w:spacing w:after="0" w:line="240" w:lineRule="auto"/>
        <w:ind w:right="-330"/>
        <w:rPr>
          <w:rFonts w:asciiTheme="minorHAnsi" w:hAnsiTheme="minorHAnsi" w:cstheme="minorHAnsi"/>
        </w:rPr>
      </w:pPr>
    </w:p>
    <w:p w14:paraId="14D251C6" w14:textId="77777777" w:rsidR="008033C1" w:rsidRPr="00CC6A13" w:rsidRDefault="00BA3FE9" w:rsidP="000E1131">
      <w:pPr>
        <w:pStyle w:val="ListParagraph"/>
        <w:numPr>
          <w:ilvl w:val="0"/>
          <w:numId w:val="1"/>
        </w:numPr>
        <w:spacing w:after="0" w:line="240" w:lineRule="auto"/>
        <w:ind w:right="-330"/>
        <w:rPr>
          <w:rFonts w:asciiTheme="minorHAnsi" w:hAnsiTheme="minorHAnsi" w:cstheme="minorHAnsi"/>
        </w:rPr>
      </w:pPr>
      <w:r w:rsidRPr="00CC6A13">
        <w:rPr>
          <w:rFonts w:asciiTheme="minorHAnsi" w:hAnsiTheme="minorHAnsi" w:cstheme="minorHAnsi"/>
        </w:rPr>
        <w:t>A fair, appropriate and justifiable level of remuneration</w:t>
      </w:r>
    </w:p>
    <w:p w14:paraId="1076E507" w14:textId="77777777" w:rsidR="001C4ADC" w:rsidRPr="00CC6A13" w:rsidRDefault="001C4ADC" w:rsidP="000E1131">
      <w:pPr>
        <w:spacing w:after="0" w:line="240" w:lineRule="auto"/>
        <w:ind w:left="360" w:right="-330"/>
        <w:rPr>
          <w:rFonts w:asciiTheme="minorHAnsi" w:hAnsiTheme="minorHAnsi" w:cstheme="minorHAnsi"/>
        </w:rPr>
      </w:pPr>
    </w:p>
    <w:p w14:paraId="6397D625" w14:textId="72C52705" w:rsidR="008033C1" w:rsidRPr="00CC6A13" w:rsidRDefault="00BA3FE9" w:rsidP="000E1131">
      <w:pPr>
        <w:spacing w:after="0" w:line="240" w:lineRule="auto"/>
        <w:ind w:left="360" w:right="-330"/>
        <w:jc w:val="both"/>
        <w:rPr>
          <w:rFonts w:asciiTheme="minorHAnsi" w:hAnsiTheme="minorHAnsi" w:cstheme="minorHAnsi"/>
        </w:rPr>
      </w:pPr>
      <w:r w:rsidRPr="00CC6A13">
        <w:rPr>
          <w:rFonts w:asciiTheme="minorHAnsi" w:hAnsiTheme="minorHAnsi" w:cstheme="minorHAnsi"/>
        </w:rPr>
        <w:t>Remuneration starts with a clear understanding of the responsibilities, context and expected contribution of a role and the attributes required to undertake that role effectively. Fair and appropriate remuneration then recognises an individual’s contribution to their institution’s success in that role, and is sufficient to recruit, retain and motivate staff of appropriate calibre in the context of the market for that role, balanced with the need to demonstrate the achievement of value for money in the use of resources.</w:t>
      </w:r>
    </w:p>
    <w:p w14:paraId="79E8CB1E" w14:textId="77777777" w:rsidR="001C4ADC" w:rsidRPr="00CC6A13" w:rsidRDefault="001C4ADC" w:rsidP="000E1131">
      <w:pPr>
        <w:spacing w:after="0" w:line="240" w:lineRule="auto"/>
        <w:ind w:left="360" w:right="-330"/>
        <w:rPr>
          <w:rFonts w:asciiTheme="minorHAnsi" w:hAnsiTheme="minorHAnsi" w:cstheme="minorHAnsi"/>
        </w:rPr>
      </w:pPr>
    </w:p>
    <w:p w14:paraId="52FF32A4" w14:textId="77777777" w:rsidR="008033C1" w:rsidRPr="00CC6A13" w:rsidRDefault="00BA3FE9" w:rsidP="000E1131">
      <w:pPr>
        <w:spacing w:after="0" w:line="240" w:lineRule="auto"/>
        <w:ind w:left="360" w:right="-330"/>
        <w:rPr>
          <w:rFonts w:asciiTheme="minorHAnsi" w:hAnsiTheme="minorHAnsi" w:cstheme="minorHAnsi"/>
        </w:rPr>
      </w:pPr>
      <w:r w:rsidRPr="00CC6A13">
        <w:rPr>
          <w:rFonts w:asciiTheme="minorHAnsi" w:hAnsiTheme="minorHAnsi" w:cstheme="minorHAnsi"/>
        </w:rPr>
        <w:t>2.</w:t>
      </w:r>
      <w:r w:rsidRPr="00CC6A13">
        <w:rPr>
          <w:rFonts w:asciiTheme="minorHAnsi" w:hAnsiTheme="minorHAnsi" w:cstheme="minorHAnsi"/>
        </w:rPr>
        <w:tab/>
        <w:t>Procedural fairness</w:t>
      </w:r>
    </w:p>
    <w:p w14:paraId="0A728D6C" w14:textId="77777777" w:rsidR="001C4ADC" w:rsidRPr="00CC6A13" w:rsidRDefault="001C4ADC" w:rsidP="000E1131">
      <w:pPr>
        <w:spacing w:after="0" w:line="240" w:lineRule="auto"/>
        <w:ind w:left="360" w:right="-330"/>
        <w:rPr>
          <w:rFonts w:asciiTheme="minorHAnsi" w:hAnsiTheme="minorHAnsi" w:cstheme="minorHAnsi"/>
        </w:rPr>
      </w:pPr>
    </w:p>
    <w:p w14:paraId="23469852" w14:textId="3C3CFAE9" w:rsidR="008033C1" w:rsidRPr="00CC6A13" w:rsidRDefault="00BA3FE9" w:rsidP="000E1131">
      <w:pPr>
        <w:spacing w:after="0" w:line="240" w:lineRule="auto"/>
        <w:ind w:left="360" w:right="-330"/>
        <w:jc w:val="both"/>
        <w:rPr>
          <w:rFonts w:asciiTheme="minorHAnsi" w:hAnsiTheme="minorHAnsi" w:cstheme="minorHAnsi"/>
        </w:rPr>
      </w:pPr>
      <w:r w:rsidRPr="00CC6A13">
        <w:rPr>
          <w:rFonts w:asciiTheme="minorHAnsi" w:hAnsiTheme="minorHAnsi" w:cstheme="minorHAnsi"/>
        </w:rPr>
        <w:lastRenderedPageBreak/>
        <w:t>Procedural fairness requires remuneration to be set through a process that is based on competent people applying a consistent framework with independent decision making using appropriate evidence and assessing the value of roles, the context and individuals’ performance in them.</w:t>
      </w:r>
    </w:p>
    <w:p w14:paraId="664E33FD" w14:textId="78738C1B" w:rsidR="008033C1" w:rsidRPr="00CC6A13" w:rsidRDefault="00BA3FE9" w:rsidP="000E1131">
      <w:pPr>
        <w:spacing w:after="0" w:line="240" w:lineRule="auto"/>
        <w:ind w:left="360" w:right="-330"/>
        <w:rPr>
          <w:rFonts w:asciiTheme="minorHAnsi" w:hAnsiTheme="minorHAnsi" w:cstheme="minorHAnsi"/>
        </w:rPr>
      </w:pPr>
      <w:r w:rsidRPr="00CC6A13">
        <w:rPr>
          <w:rFonts w:asciiTheme="minorHAnsi" w:hAnsiTheme="minorHAnsi" w:cstheme="minorHAnsi"/>
        </w:rPr>
        <w:t>3.</w:t>
      </w:r>
      <w:r w:rsidRPr="00CC6A13">
        <w:rPr>
          <w:rFonts w:asciiTheme="minorHAnsi" w:hAnsiTheme="minorHAnsi" w:cstheme="minorHAnsi"/>
        </w:rPr>
        <w:tab/>
        <w:t>Transparency and accountability</w:t>
      </w:r>
    </w:p>
    <w:p w14:paraId="401B1A90" w14:textId="77777777" w:rsidR="001C4ADC" w:rsidRPr="00CC6A13" w:rsidRDefault="001C4ADC" w:rsidP="000E1131">
      <w:pPr>
        <w:spacing w:after="0" w:line="240" w:lineRule="auto"/>
        <w:ind w:left="360" w:right="-330"/>
        <w:rPr>
          <w:rFonts w:asciiTheme="minorHAnsi" w:hAnsiTheme="minorHAnsi" w:cstheme="minorHAnsi"/>
        </w:rPr>
      </w:pPr>
    </w:p>
    <w:p w14:paraId="612D6592" w14:textId="62A71D47" w:rsidR="008033C1" w:rsidRPr="00CC6A13" w:rsidRDefault="00BA3FE9" w:rsidP="000E1131">
      <w:pPr>
        <w:spacing w:after="0" w:line="240" w:lineRule="auto"/>
        <w:ind w:left="360" w:right="-330"/>
        <w:jc w:val="both"/>
        <w:rPr>
          <w:rFonts w:asciiTheme="minorHAnsi" w:hAnsiTheme="minorHAnsi" w:cstheme="minorHAnsi"/>
        </w:rPr>
      </w:pPr>
      <w:r w:rsidRPr="00CC6A13">
        <w:rPr>
          <w:rFonts w:asciiTheme="minorHAnsi" w:hAnsiTheme="minorHAnsi" w:cstheme="minorHAnsi"/>
        </w:rPr>
        <w:t>The process for setting remuneration must be transparent. For senior post holders there must be an institutional level justification for remuneration that relates to the competitive environment, the value of the roles and institutional performance. The remuneration of the Head of Institution must be separately justified, published and related to the remuneration of all staff within the organisation.</w:t>
      </w:r>
    </w:p>
    <w:p w14:paraId="50FA62FC" w14:textId="77777777" w:rsidR="001C4ADC" w:rsidRPr="00CC6A13" w:rsidRDefault="001C4ADC" w:rsidP="000E1131">
      <w:pPr>
        <w:spacing w:after="0" w:line="240" w:lineRule="auto"/>
        <w:ind w:left="360" w:right="-330"/>
        <w:rPr>
          <w:rFonts w:asciiTheme="minorHAnsi" w:hAnsiTheme="minorHAnsi" w:cstheme="minorHAnsi"/>
        </w:rPr>
      </w:pPr>
    </w:p>
    <w:p w14:paraId="259E8B20" w14:textId="6AD6E41F" w:rsidR="008033C1" w:rsidRPr="00CC6A13" w:rsidRDefault="00BA3FE9" w:rsidP="000E1131">
      <w:pPr>
        <w:spacing w:after="0" w:line="240" w:lineRule="auto"/>
        <w:ind w:left="360" w:right="-330"/>
        <w:rPr>
          <w:rFonts w:asciiTheme="minorHAnsi" w:hAnsiTheme="minorHAnsi" w:cstheme="minorHAnsi"/>
        </w:rPr>
      </w:pPr>
      <w:r w:rsidRPr="00CC6A13">
        <w:rPr>
          <w:rFonts w:asciiTheme="minorHAnsi" w:hAnsiTheme="minorHAnsi" w:cstheme="minorHAnsi"/>
        </w:rPr>
        <w:t>The key principles of the University’s approach to Remuneration are as follows:</w:t>
      </w:r>
    </w:p>
    <w:p w14:paraId="4E4C127B" w14:textId="77777777" w:rsidR="008033C1" w:rsidRPr="00CC6A13" w:rsidRDefault="00BA3FE9" w:rsidP="000E1131">
      <w:pPr>
        <w:pStyle w:val="ListParagraph"/>
        <w:numPr>
          <w:ilvl w:val="0"/>
          <w:numId w:val="2"/>
        </w:numPr>
        <w:spacing w:after="0" w:line="240" w:lineRule="auto"/>
        <w:ind w:left="709" w:right="-330" w:hanging="283"/>
        <w:jc w:val="both"/>
        <w:rPr>
          <w:rFonts w:asciiTheme="minorHAnsi" w:hAnsiTheme="minorHAnsi" w:cstheme="minorHAnsi"/>
        </w:rPr>
      </w:pPr>
      <w:r w:rsidRPr="00CC6A13">
        <w:rPr>
          <w:rFonts w:asciiTheme="minorHAnsi" w:hAnsiTheme="minorHAnsi" w:cstheme="minorHAnsi"/>
        </w:rPr>
        <w:t>The University must be able to recruit and retain high quality academic and Professional Services leaders;</w:t>
      </w:r>
    </w:p>
    <w:p w14:paraId="576DD9F0" w14:textId="77777777" w:rsidR="008033C1" w:rsidRPr="00CC6A13" w:rsidRDefault="00BA3FE9" w:rsidP="000E1131">
      <w:pPr>
        <w:pStyle w:val="ListParagraph"/>
        <w:numPr>
          <w:ilvl w:val="0"/>
          <w:numId w:val="2"/>
        </w:numPr>
        <w:spacing w:after="0" w:line="240" w:lineRule="auto"/>
        <w:ind w:left="709" w:right="-330" w:hanging="283"/>
        <w:jc w:val="both"/>
        <w:rPr>
          <w:rFonts w:asciiTheme="minorHAnsi" w:hAnsiTheme="minorHAnsi" w:cstheme="minorHAnsi"/>
        </w:rPr>
      </w:pPr>
      <w:r w:rsidRPr="00CC6A13">
        <w:rPr>
          <w:rFonts w:asciiTheme="minorHAnsi" w:hAnsiTheme="minorHAnsi" w:cstheme="minorHAnsi"/>
        </w:rPr>
        <w:t>Appropriate performance targets and incentives are set, and outcomes monitored for these leaders to develop the continued success of the University.</w:t>
      </w:r>
    </w:p>
    <w:p w14:paraId="1706E115" w14:textId="77777777" w:rsidR="009A6FAC" w:rsidRPr="00CC6A13" w:rsidRDefault="009A6FAC" w:rsidP="009A6FAC">
      <w:pPr>
        <w:spacing w:after="0" w:line="240" w:lineRule="auto"/>
        <w:ind w:right="-330"/>
        <w:jc w:val="both"/>
        <w:rPr>
          <w:rFonts w:asciiTheme="minorHAnsi" w:hAnsiTheme="minorHAnsi" w:cstheme="minorHAnsi"/>
        </w:rPr>
      </w:pPr>
    </w:p>
    <w:p w14:paraId="2C4EC38D" w14:textId="54E0475A" w:rsidR="008033C1" w:rsidRPr="00CC6A13" w:rsidRDefault="00BA3FE9" w:rsidP="009C54E4">
      <w:pPr>
        <w:spacing w:after="0" w:line="240" w:lineRule="auto"/>
        <w:ind w:right="-329"/>
        <w:jc w:val="both"/>
        <w:rPr>
          <w:rFonts w:asciiTheme="minorHAnsi" w:hAnsiTheme="minorHAnsi" w:cstheme="minorHAnsi"/>
        </w:rPr>
      </w:pPr>
      <w:r w:rsidRPr="00CC6A13">
        <w:rPr>
          <w:rFonts w:asciiTheme="minorHAnsi" w:hAnsiTheme="minorHAnsi" w:cstheme="minorHAnsi"/>
        </w:rPr>
        <w:t>The Remuneration Committee makes decisions on salary awards which are merit and performance</w:t>
      </w:r>
      <w:r w:rsidR="001C4ADC" w:rsidRPr="00CC6A13">
        <w:rPr>
          <w:rFonts w:asciiTheme="minorHAnsi" w:hAnsiTheme="minorHAnsi" w:cstheme="minorHAnsi"/>
        </w:rPr>
        <w:noBreakHyphen/>
      </w:r>
      <w:r w:rsidRPr="00CC6A13">
        <w:rPr>
          <w:rFonts w:asciiTheme="minorHAnsi" w:hAnsiTheme="minorHAnsi" w:cstheme="minorHAnsi"/>
        </w:rPr>
        <w:t>related:</w:t>
      </w:r>
    </w:p>
    <w:p w14:paraId="64B0B942" w14:textId="77777777" w:rsidR="008033C1" w:rsidRPr="00CC6A13" w:rsidRDefault="00BA3FE9" w:rsidP="000E1131">
      <w:pPr>
        <w:spacing w:after="0" w:line="240" w:lineRule="auto"/>
        <w:ind w:left="284" w:right="-330" w:hanging="284"/>
        <w:jc w:val="both"/>
        <w:rPr>
          <w:rFonts w:asciiTheme="minorHAnsi" w:hAnsiTheme="minorHAnsi" w:cstheme="minorHAnsi"/>
        </w:rPr>
      </w:pPr>
      <w:r w:rsidRPr="00CC6A13">
        <w:rPr>
          <w:rFonts w:asciiTheme="minorHAnsi" w:hAnsiTheme="minorHAnsi" w:cstheme="minorHAnsi"/>
        </w:rPr>
        <w:t>•</w:t>
      </w:r>
      <w:r w:rsidRPr="00CC6A13">
        <w:rPr>
          <w:rFonts w:asciiTheme="minorHAnsi" w:hAnsiTheme="minorHAnsi" w:cstheme="minorHAnsi"/>
        </w:rPr>
        <w:tab/>
        <w:t xml:space="preserve">The level of awards is decided by the Remuneration Committee, in the context of the overall performance of the University, and </w:t>
      </w:r>
      <w:proofErr w:type="gramStart"/>
      <w:r w:rsidRPr="00CC6A13">
        <w:rPr>
          <w:rFonts w:asciiTheme="minorHAnsi" w:hAnsiTheme="minorHAnsi" w:cstheme="minorHAnsi"/>
        </w:rPr>
        <w:t>takes into account</w:t>
      </w:r>
      <w:proofErr w:type="gramEnd"/>
      <w:r w:rsidRPr="00CC6A13">
        <w:rPr>
          <w:rFonts w:asciiTheme="minorHAnsi" w:hAnsiTheme="minorHAnsi" w:cstheme="minorHAnsi"/>
        </w:rPr>
        <w:t xml:space="preserve"> all relevant market data;</w:t>
      </w:r>
    </w:p>
    <w:p w14:paraId="6AC00C4A" w14:textId="752A04FA" w:rsidR="008033C1" w:rsidRPr="00CC6A13" w:rsidRDefault="00BA3FE9" w:rsidP="000E1131">
      <w:pPr>
        <w:spacing w:after="0" w:line="240" w:lineRule="auto"/>
        <w:ind w:left="284" w:right="-330" w:hanging="284"/>
        <w:jc w:val="both"/>
        <w:rPr>
          <w:rFonts w:asciiTheme="minorHAnsi" w:hAnsiTheme="minorHAnsi" w:cstheme="minorHAnsi"/>
        </w:rPr>
      </w:pPr>
      <w:r w:rsidRPr="00CC6A13">
        <w:rPr>
          <w:rFonts w:asciiTheme="minorHAnsi" w:hAnsiTheme="minorHAnsi" w:cstheme="minorHAnsi"/>
        </w:rPr>
        <w:t>•</w:t>
      </w:r>
      <w:r w:rsidRPr="00CC6A13">
        <w:rPr>
          <w:rFonts w:asciiTheme="minorHAnsi" w:hAnsiTheme="minorHAnsi" w:cstheme="minorHAnsi"/>
        </w:rPr>
        <w:tab/>
        <w:t xml:space="preserve">All academics in scope are expected to make an annual submission for consideration to supplement performance data available within the </w:t>
      </w:r>
      <w:r w:rsidR="00F905C7" w:rsidRPr="00CC6A13">
        <w:rPr>
          <w:rFonts w:asciiTheme="minorHAnsi" w:hAnsiTheme="minorHAnsi" w:cstheme="minorHAnsi"/>
        </w:rPr>
        <w:t>performance development review (</w:t>
      </w:r>
      <w:r w:rsidRPr="00CC6A13">
        <w:rPr>
          <w:rFonts w:asciiTheme="minorHAnsi" w:hAnsiTheme="minorHAnsi" w:cstheme="minorHAnsi"/>
        </w:rPr>
        <w:t>PDR</w:t>
      </w:r>
      <w:r w:rsidR="00F905C7" w:rsidRPr="00CC6A13">
        <w:rPr>
          <w:rFonts w:asciiTheme="minorHAnsi" w:hAnsiTheme="minorHAnsi" w:cstheme="minorHAnsi"/>
        </w:rPr>
        <w:t>)</w:t>
      </w:r>
      <w:r w:rsidRPr="00CC6A13">
        <w:rPr>
          <w:rFonts w:asciiTheme="minorHAnsi" w:hAnsiTheme="minorHAnsi" w:cstheme="minorHAnsi"/>
        </w:rPr>
        <w:t xml:space="preserve"> process. Professional Services senior leadership in scope are considered by the Registrar and Chief Operating Officer and discussed at moderation prior to recommendations being made to the Remuneration Committee;</w:t>
      </w:r>
    </w:p>
    <w:p w14:paraId="64A461A0" w14:textId="77777777" w:rsidR="008033C1" w:rsidRPr="00CC6A13" w:rsidRDefault="00BA3FE9" w:rsidP="000E1131">
      <w:pPr>
        <w:spacing w:after="0" w:line="240" w:lineRule="auto"/>
        <w:ind w:left="284" w:right="-330" w:hanging="284"/>
        <w:jc w:val="both"/>
        <w:rPr>
          <w:rFonts w:asciiTheme="minorHAnsi" w:hAnsiTheme="minorHAnsi" w:cstheme="minorHAnsi"/>
        </w:rPr>
      </w:pPr>
      <w:r w:rsidRPr="00CC6A13">
        <w:rPr>
          <w:rFonts w:asciiTheme="minorHAnsi" w:hAnsiTheme="minorHAnsi" w:cstheme="minorHAnsi"/>
        </w:rPr>
        <w:t>•</w:t>
      </w:r>
      <w:r w:rsidRPr="00CC6A13">
        <w:rPr>
          <w:rFonts w:asciiTheme="minorHAnsi" w:hAnsiTheme="minorHAnsi" w:cstheme="minorHAnsi"/>
        </w:rPr>
        <w:tab/>
        <w:t>The Chair of the Remuneration Committee has the authority to determine awards outside of the normal cycle in exceptional circumstances;</w:t>
      </w:r>
    </w:p>
    <w:p w14:paraId="114222CD" w14:textId="0B50E2C9" w:rsidR="008033C1" w:rsidRPr="00CC6A13" w:rsidRDefault="00BA3FE9" w:rsidP="000E1131">
      <w:pPr>
        <w:pStyle w:val="ListParagraph"/>
        <w:numPr>
          <w:ilvl w:val="0"/>
          <w:numId w:val="3"/>
        </w:numPr>
        <w:spacing w:after="0" w:line="240" w:lineRule="auto"/>
        <w:ind w:left="284" w:right="-330" w:hanging="284"/>
        <w:jc w:val="both"/>
        <w:rPr>
          <w:rFonts w:asciiTheme="minorHAnsi" w:hAnsiTheme="minorHAnsi" w:cstheme="minorHAnsi"/>
        </w:rPr>
      </w:pPr>
      <w:r w:rsidRPr="00CC6A13">
        <w:rPr>
          <w:rFonts w:asciiTheme="minorHAnsi" w:hAnsiTheme="minorHAnsi" w:cstheme="minorHAnsi"/>
        </w:rPr>
        <w:t xml:space="preserve">The salary and other benefits paid to the Vice-Chancellor, together with anonymised data on salaries above £100K is published in the Financial </w:t>
      </w:r>
      <w:r w:rsidR="00F905C7" w:rsidRPr="00CC6A13">
        <w:rPr>
          <w:rFonts w:asciiTheme="minorHAnsi" w:hAnsiTheme="minorHAnsi" w:cstheme="minorHAnsi"/>
        </w:rPr>
        <w:t>Statements</w:t>
      </w:r>
      <w:r w:rsidRPr="00CC6A13">
        <w:rPr>
          <w:rFonts w:asciiTheme="minorHAnsi" w:hAnsiTheme="minorHAnsi" w:cstheme="minorHAnsi"/>
        </w:rPr>
        <w:t>;</w:t>
      </w:r>
    </w:p>
    <w:p w14:paraId="313DC6A0" w14:textId="77777777" w:rsidR="008033C1" w:rsidRPr="00CC6A13" w:rsidRDefault="00BA3FE9" w:rsidP="000E1131">
      <w:pPr>
        <w:spacing w:after="0" w:line="240" w:lineRule="auto"/>
        <w:ind w:left="284" w:right="-330" w:hanging="284"/>
        <w:jc w:val="both"/>
        <w:rPr>
          <w:rFonts w:asciiTheme="minorHAnsi" w:hAnsiTheme="minorHAnsi" w:cstheme="minorHAnsi"/>
        </w:rPr>
      </w:pPr>
      <w:r w:rsidRPr="00CC6A13">
        <w:rPr>
          <w:rFonts w:asciiTheme="minorHAnsi" w:hAnsiTheme="minorHAnsi" w:cstheme="minorHAnsi"/>
        </w:rPr>
        <w:t>•</w:t>
      </w:r>
      <w:r w:rsidRPr="00CC6A13">
        <w:rPr>
          <w:rFonts w:asciiTheme="minorHAnsi" w:hAnsiTheme="minorHAnsi" w:cstheme="minorHAnsi"/>
        </w:rPr>
        <w:tab/>
        <w:t>Decisions are subject to equality impact assessment.</w:t>
      </w:r>
    </w:p>
    <w:p w14:paraId="29F9ABC9" w14:textId="77777777" w:rsidR="008033C1" w:rsidRPr="00CC6A13" w:rsidRDefault="008033C1" w:rsidP="000E1131">
      <w:pPr>
        <w:spacing w:after="0" w:line="240" w:lineRule="auto"/>
        <w:ind w:left="284" w:right="-330" w:hanging="284"/>
        <w:rPr>
          <w:rFonts w:asciiTheme="minorHAnsi" w:hAnsiTheme="minorHAnsi" w:cstheme="minorHAnsi"/>
        </w:rPr>
      </w:pPr>
    </w:p>
    <w:p w14:paraId="44AB95CE" w14:textId="72D37B1F" w:rsidR="008033C1" w:rsidRPr="00CC6A13" w:rsidRDefault="00BA3FE9" w:rsidP="000E1131">
      <w:pPr>
        <w:spacing w:after="0" w:line="240" w:lineRule="auto"/>
        <w:ind w:left="284" w:right="-330" w:hanging="284"/>
        <w:rPr>
          <w:rFonts w:asciiTheme="minorHAnsi" w:hAnsiTheme="minorHAnsi" w:cstheme="minorHAnsi"/>
          <w:b/>
          <w:bCs/>
        </w:rPr>
      </w:pPr>
      <w:r w:rsidRPr="00CC6A13">
        <w:rPr>
          <w:rFonts w:asciiTheme="minorHAnsi" w:hAnsiTheme="minorHAnsi" w:cstheme="minorHAnsi"/>
          <w:b/>
          <w:bCs/>
        </w:rPr>
        <w:t>REMUNERATION 202</w:t>
      </w:r>
      <w:r w:rsidR="00472442" w:rsidRPr="00CC6A13">
        <w:rPr>
          <w:rFonts w:asciiTheme="minorHAnsi" w:hAnsiTheme="minorHAnsi" w:cstheme="minorHAnsi"/>
          <w:b/>
          <w:bCs/>
        </w:rPr>
        <w:t>3</w:t>
      </w:r>
    </w:p>
    <w:p w14:paraId="7400D19C" w14:textId="77777777" w:rsidR="001C4ADC" w:rsidRPr="00CC6A13" w:rsidRDefault="001C4ADC" w:rsidP="000E1131">
      <w:pPr>
        <w:spacing w:after="0" w:line="240" w:lineRule="auto"/>
        <w:ind w:right="-330"/>
        <w:rPr>
          <w:rFonts w:asciiTheme="minorHAnsi" w:hAnsiTheme="minorHAnsi" w:cstheme="minorHAnsi"/>
          <w:b/>
          <w:bCs/>
        </w:rPr>
      </w:pPr>
    </w:p>
    <w:p w14:paraId="059EDDCD" w14:textId="4962F293" w:rsidR="008033C1" w:rsidRPr="00CC6A13" w:rsidRDefault="00BA3FE9" w:rsidP="000E1131">
      <w:pPr>
        <w:spacing w:after="0" w:line="240" w:lineRule="auto"/>
        <w:ind w:right="-330"/>
        <w:rPr>
          <w:rFonts w:asciiTheme="minorHAnsi" w:hAnsiTheme="minorHAnsi" w:cstheme="minorHAnsi"/>
          <w:b/>
          <w:bCs/>
        </w:rPr>
      </w:pPr>
      <w:r w:rsidRPr="00CC6A13">
        <w:rPr>
          <w:rFonts w:asciiTheme="minorHAnsi" w:hAnsiTheme="minorHAnsi" w:cstheme="minorHAnsi"/>
          <w:b/>
          <w:bCs/>
        </w:rPr>
        <w:t xml:space="preserve">National Pay Awards </w:t>
      </w:r>
    </w:p>
    <w:p w14:paraId="26B047A8" w14:textId="77CF1FDA" w:rsidR="009C54E4" w:rsidRPr="00CC6A13" w:rsidRDefault="009C54E4" w:rsidP="000E1131">
      <w:pPr>
        <w:spacing w:after="0" w:line="240" w:lineRule="auto"/>
        <w:ind w:right="-330"/>
        <w:jc w:val="both"/>
        <w:rPr>
          <w:rFonts w:asciiTheme="minorHAnsi" w:hAnsiTheme="minorHAnsi" w:cstheme="minorHAnsi"/>
          <w:color w:val="2F5496" w:themeColor="accent1" w:themeShade="BF"/>
        </w:rPr>
      </w:pPr>
      <w:r w:rsidRPr="00CC6A13">
        <w:rPr>
          <w:rFonts w:asciiTheme="minorHAnsi" w:hAnsiTheme="minorHAnsi" w:cstheme="minorHAnsi"/>
        </w:rPr>
        <w:t>All Swansea University colleagues, including the Vice-Chancellor, received a cost-of-living salary increase of £1,000 on each pay point or 2%, whichever was greater, followed by a further uplift in August 2023 resulting in an overall uplift of between 5% and 8%, with higher percentage uplifts for staff on the lower salary scale points, following 202</w:t>
      </w:r>
      <w:r w:rsidR="00764421" w:rsidRPr="00CC6A13">
        <w:rPr>
          <w:rFonts w:asciiTheme="minorHAnsi" w:hAnsiTheme="minorHAnsi" w:cstheme="minorHAnsi"/>
        </w:rPr>
        <w:t>3</w:t>
      </w:r>
      <w:r w:rsidRPr="00CC6A13">
        <w:rPr>
          <w:rFonts w:asciiTheme="minorHAnsi" w:hAnsiTheme="minorHAnsi" w:cstheme="minorHAnsi"/>
        </w:rPr>
        <w:t>/2</w:t>
      </w:r>
      <w:r w:rsidR="00764421" w:rsidRPr="00CC6A13">
        <w:rPr>
          <w:rFonts w:asciiTheme="minorHAnsi" w:hAnsiTheme="minorHAnsi" w:cstheme="minorHAnsi"/>
        </w:rPr>
        <w:t>4</w:t>
      </w:r>
      <w:r w:rsidRPr="00CC6A13">
        <w:rPr>
          <w:rFonts w:asciiTheme="minorHAnsi" w:hAnsiTheme="minorHAnsi" w:cstheme="minorHAnsi"/>
        </w:rPr>
        <w:t xml:space="preserve"> collective pay negotiations conducted by UCEA on behalf of Higher Education Institutions.</w:t>
      </w:r>
    </w:p>
    <w:p w14:paraId="1BF174B0" w14:textId="77777777" w:rsidR="009C54E4" w:rsidRPr="00CC6A13" w:rsidRDefault="009C54E4" w:rsidP="000E1131">
      <w:pPr>
        <w:spacing w:after="0" w:line="240" w:lineRule="auto"/>
        <w:ind w:right="-330"/>
        <w:jc w:val="both"/>
        <w:rPr>
          <w:rFonts w:asciiTheme="minorHAnsi" w:hAnsiTheme="minorHAnsi" w:cstheme="minorHAnsi"/>
          <w:color w:val="2F5496" w:themeColor="accent1" w:themeShade="BF"/>
        </w:rPr>
      </w:pPr>
    </w:p>
    <w:p w14:paraId="0075EEB2" w14:textId="5E764734" w:rsidR="008033C1" w:rsidRPr="00CC6A13" w:rsidRDefault="00BA3FE9" w:rsidP="000E1131">
      <w:pPr>
        <w:spacing w:after="0" w:line="240" w:lineRule="auto"/>
        <w:ind w:right="-330"/>
        <w:rPr>
          <w:rFonts w:asciiTheme="minorHAnsi" w:hAnsiTheme="minorHAnsi" w:cstheme="minorHAnsi"/>
          <w:b/>
          <w:bCs/>
        </w:rPr>
      </w:pPr>
      <w:r w:rsidRPr="00CC6A13">
        <w:rPr>
          <w:rFonts w:asciiTheme="minorHAnsi" w:hAnsiTheme="minorHAnsi" w:cstheme="minorHAnsi"/>
          <w:b/>
          <w:bCs/>
        </w:rPr>
        <w:t xml:space="preserve">Senior Staff </w:t>
      </w:r>
      <w:r w:rsidR="001A21BF" w:rsidRPr="00CC6A13">
        <w:rPr>
          <w:rFonts w:asciiTheme="minorHAnsi" w:hAnsiTheme="minorHAnsi" w:cstheme="minorHAnsi"/>
          <w:b/>
          <w:bCs/>
        </w:rPr>
        <w:t>Remuneration</w:t>
      </w:r>
    </w:p>
    <w:p w14:paraId="5C066F40" w14:textId="0B0C9255" w:rsidR="00F17520" w:rsidRPr="00CC6A13" w:rsidRDefault="00302AC6" w:rsidP="000E1131">
      <w:pPr>
        <w:pStyle w:val="Default"/>
        <w:tabs>
          <w:tab w:val="left" w:pos="0"/>
        </w:tabs>
        <w:ind w:right="-330"/>
        <w:jc w:val="both"/>
        <w:rPr>
          <w:rFonts w:asciiTheme="minorHAnsi" w:hAnsiTheme="minorHAnsi" w:cstheme="minorHAnsi"/>
          <w:sz w:val="22"/>
          <w:szCs w:val="22"/>
        </w:rPr>
      </w:pPr>
      <w:proofErr w:type="gramStart"/>
      <w:r w:rsidRPr="00CC6A13">
        <w:rPr>
          <w:rFonts w:asciiTheme="minorHAnsi" w:hAnsiTheme="minorHAnsi" w:cstheme="minorHAnsi"/>
          <w:sz w:val="22"/>
          <w:szCs w:val="22"/>
        </w:rPr>
        <w:t>In light of</w:t>
      </w:r>
      <w:proofErr w:type="gramEnd"/>
      <w:r w:rsidRPr="00CC6A13">
        <w:rPr>
          <w:rFonts w:asciiTheme="minorHAnsi" w:hAnsiTheme="minorHAnsi" w:cstheme="minorHAnsi"/>
          <w:sz w:val="22"/>
          <w:szCs w:val="22"/>
        </w:rPr>
        <w:t xml:space="preserve"> the proposed cost savings to improve the financial sustainability of the University</w:t>
      </w:r>
      <w:r w:rsidR="00F83195" w:rsidRPr="00CC6A13">
        <w:rPr>
          <w:rFonts w:asciiTheme="minorHAnsi" w:hAnsiTheme="minorHAnsi" w:cstheme="minorHAnsi"/>
          <w:sz w:val="22"/>
          <w:szCs w:val="22"/>
        </w:rPr>
        <w:t xml:space="preserve"> </w:t>
      </w:r>
      <w:r w:rsidRPr="00CC6A13">
        <w:rPr>
          <w:rFonts w:asciiTheme="minorHAnsi" w:hAnsiTheme="minorHAnsi" w:cstheme="minorHAnsi"/>
          <w:sz w:val="22"/>
          <w:szCs w:val="22"/>
        </w:rPr>
        <w:t xml:space="preserve">the Remuneration Committee approved a recommendation from the Senior Leadership Team that the Remuneration cycle </w:t>
      </w:r>
      <w:r w:rsidR="00B6014C" w:rsidRPr="00CC6A13">
        <w:rPr>
          <w:rFonts w:asciiTheme="minorHAnsi" w:hAnsiTheme="minorHAnsi" w:cstheme="minorHAnsi"/>
          <w:sz w:val="22"/>
          <w:szCs w:val="22"/>
        </w:rPr>
        <w:t xml:space="preserve">for 2023 </w:t>
      </w:r>
      <w:r w:rsidRPr="00CC6A13">
        <w:rPr>
          <w:rFonts w:asciiTheme="minorHAnsi" w:hAnsiTheme="minorHAnsi" w:cstheme="minorHAnsi"/>
          <w:sz w:val="22"/>
          <w:szCs w:val="22"/>
        </w:rPr>
        <w:t xml:space="preserve">for Grade 10A colleagues, Grade 11 colleagues (including Professional Services Directors and Professors), </w:t>
      </w:r>
      <w:r w:rsidR="00050349" w:rsidRPr="00CC6A13">
        <w:rPr>
          <w:rFonts w:asciiTheme="minorHAnsi" w:hAnsiTheme="minorHAnsi" w:cstheme="minorHAnsi"/>
          <w:sz w:val="22"/>
          <w:szCs w:val="22"/>
        </w:rPr>
        <w:t>Senior Leadership Team</w:t>
      </w:r>
      <w:r w:rsidR="00B6014C" w:rsidRPr="00CC6A13">
        <w:rPr>
          <w:rFonts w:asciiTheme="minorHAnsi" w:hAnsiTheme="minorHAnsi" w:cstheme="minorHAnsi"/>
          <w:sz w:val="22"/>
          <w:szCs w:val="22"/>
        </w:rPr>
        <w:t xml:space="preserve"> and</w:t>
      </w:r>
      <w:r w:rsidRPr="00CC6A13">
        <w:rPr>
          <w:rFonts w:asciiTheme="minorHAnsi" w:hAnsiTheme="minorHAnsi" w:cstheme="minorHAnsi"/>
          <w:sz w:val="22"/>
          <w:szCs w:val="22"/>
        </w:rPr>
        <w:t xml:space="preserve"> the Vice Chancellor</w:t>
      </w:r>
      <w:r w:rsidR="00B6014C" w:rsidRPr="00CC6A13">
        <w:rPr>
          <w:rFonts w:asciiTheme="minorHAnsi" w:hAnsiTheme="minorHAnsi" w:cstheme="minorHAnsi"/>
          <w:sz w:val="22"/>
          <w:szCs w:val="22"/>
        </w:rPr>
        <w:t xml:space="preserve"> (</w:t>
      </w:r>
      <w:r w:rsidRPr="00CC6A13">
        <w:rPr>
          <w:rFonts w:asciiTheme="minorHAnsi" w:hAnsiTheme="minorHAnsi" w:cstheme="minorHAnsi"/>
          <w:sz w:val="22"/>
          <w:szCs w:val="22"/>
        </w:rPr>
        <w:t>excluding Clinical Academics) would not take place.</w:t>
      </w:r>
    </w:p>
    <w:p w14:paraId="7AA94580" w14:textId="77777777" w:rsidR="00B6014C" w:rsidRPr="00CC6A13" w:rsidRDefault="00B6014C" w:rsidP="000E1131">
      <w:pPr>
        <w:pStyle w:val="Default"/>
        <w:tabs>
          <w:tab w:val="left" w:pos="0"/>
        </w:tabs>
        <w:ind w:right="-330"/>
        <w:jc w:val="both"/>
        <w:rPr>
          <w:rFonts w:asciiTheme="minorHAnsi" w:hAnsiTheme="minorHAnsi" w:cstheme="minorHAnsi"/>
          <w:sz w:val="22"/>
          <w:szCs w:val="22"/>
        </w:rPr>
      </w:pPr>
    </w:p>
    <w:p w14:paraId="5146E53B" w14:textId="734D3B41" w:rsidR="008033C1" w:rsidRPr="00CC6A13" w:rsidRDefault="00B6014C" w:rsidP="000E1131">
      <w:pPr>
        <w:pStyle w:val="Default"/>
        <w:tabs>
          <w:tab w:val="left" w:pos="0"/>
        </w:tabs>
        <w:ind w:right="-330"/>
        <w:jc w:val="both"/>
        <w:rPr>
          <w:rFonts w:asciiTheme="minorHAnsi" w:hAnsiTheme="minorHAnsi" w:cstheme="minorHAnsi"/>
          <w:sz w:val="22"/>
          <w:szCs w:val="22"/>
        </w:rPr>
      </w:pPr>
      <w:r w:rsidRPr="00CC6A13">
        <w:rPr>
          <w:rFonts w:asciiTheme="minorHAnsi" w:hAnsiTheme="minorHAnsi" w:cstheme="minorHAnsi"/>
          <w:sz w:val="22"/>
          <w:szCs w:val="22"/>
        </w:rPr>
        <w:t>In previous years, however, t</w:t>
      </w:r>
      <w:r w:rsidR="00377883" w:rsidRPr="00CC6A13">
        <w:rPr>
          <w:rFonts w:asciiTheme="minorHAnsi" w:hAnsiTheme="minorHAnsi" w:cstheme="minorHAnsi"/>
          <w:sz w:val="22"/>
          <w:szCs w:val="22"/>
        </w:rPr>
        <w:t xml:space="preserve">he Committee </w:t>
      </w:r>
      <w:r w:rsidR="00745C86" w:rsidRPr="00CC6A13">
        <w:rPr>
          <w:rFonts w:asciiTheme="minorHAnsi" w:hAnsiTheme="minorHAnsi" w:cstheme="minorHAnsi"/>
          <w:sz w:val="22"/>
          <w:szCs w:val="22"/>
        </w:rPr>
        <w:t xml:space="preserve">has </w:t>
      </w:r>
      <w:r w:rsidR="00377883" w:rsidRPr="00CC6A13">
        <w:rPr>
          <w:rFonts w:asciiTheme="minorHAnsi" w:hAnsiTheme="minorHAnsi" w:cstheme="minorHAnsi"/>
          <w:sz w:val="22"/>
          <w:szCs w:val="22"/>
        </w:rPr>
        <w:t xml:space="preserve">approved </w:t>
      </w:r>
      <w:r w:rsidRPr="00CC6A13">
        <w:rPr>
          <w:rFonts w:asciiTheme="minorHAnsi" w:hAnsiTheme="minorHAnsi" w:cstheme="minorHAnsi"/>
          <w:sz w:val="22"/>
          <w:szCs w:val="22"/>
        </w:rPr>
        <w:t xml:space="preserve">an </w:t>
      </w:r>
      <w:r w:rsidR="00377883" w:rsidRPr="00CC6A13">
        <w:rPr>
          <w:rFonts w:asciiTheme="minorHAnsi" w:hAnsiTheme="minorHAnsi" w:cstheme="minorHAnsi"/>
          <w:sz w:val="22"/>
          <w:szCs w:val="22"/>
        </w:rPr>
        <w:t>approach</w:t>
      </w:r>
      <w:r w:rsidR="00745C86" w:rsidRPr="00CC6A13">
        <w:rPr>
          <w:rFonts w:asciiTheme="minorHAnsi" w:hAnsiTheme="minorHAnsi" w:cstheme="minorHAnsi"/>
          <w:sz w:val="22"/>
          <w:szCs w:val="22"/>
        </w:rPr>
        <w:t xml:space="preserve"> </w:t>
      </w:r>
      <w:r w:rsidR="00BA3FE9" w:rsidRPr="00CC6A13">
        <w:rPr>
          <w:rFonts w:asciiTheme="minorHAnsi" w:hAnsiTheme="minorHAnsi" w:cstheme="minorHAnsi"/>
          <w:sz w:val="22"/>
          <w:szCs w:val="22"/>
        </w:rPr>
        <w:t xml:space="preserve">for remuneration for </w:t>
      </w:r>
      <w:r w:rsidR="00377883" w:rsidRPr="00CC6A13">
        <w:rPr>
          <w:rFonts w:asciiTheme="minorHAnsi" w:hAnsiTheme="minorHAnsi" w:cstheme="minorHAnsi"/>
          <w:sz w:val="22"/>
          <w:szCs w:val="22"/>
        </w:rPr>
        <w:t>members of the Senior Leadership Team (including the Vice</w:t>
      </w:r>
      <w:r w:rsidR="00AC73E4" w:rsidRPr="00CC6A13">
        <w:rPr>
          <w:rFonts w:asciiTheme="minorHAnsi" w:hAnsiTheme="minorHAnsi" w:cstheme="minorHAnsi"/>
          <w:sz w:val="22"/>
          <w:szCs w:val="22"/>
        </w:rPr>
        <w:noBreakHyphen/>
      </w:r>
      <w:r w:rsidR="00377883" w:rsidRPr="00CC6A13">
        <w:rPr>
          <w:rFonts w:asciiTheme="minorHAnsi" w:hAnsiTheme="minorHAnsi" w:cstheme="minorHAnsi"/>
          <w:sz w:val="22"/>
          <w:szCs w:val="22"/>
        </w:rPr>
        <w:t xml:space="preserve">Chancellor), Grade 11 (including Professional Services Directors and Professors) and Grade 10A colleagues, </w:t>
      </w:r>
      <w:r w:rsidRPr="00CC6A13">
        <w:rPr>
          <w:rFonts w:asciiTheme="minorHAnsi" w:hAnsiTheme="minorHAnsi" w:cstheme="minorHAnsi"/>
          <w:sz w:val="22"/>
          <w:szCs w:val="22"/>
        </w:rPr>
        <w:t xml:space="preserve">which took </w:t>
      </w:r>
      <w:r w:rsidR="00377883" w:rsidRPr="00CC6A13">
        <w:rPr>
          <w:rFonts w:asciiTheme="minorHAnsi" w:hAnsiTheme="minorHAnsi" w:cstheme="minorHAnsi"/>
          <w:sz w:val="22"/>
          <w:szCs w:val="22"/>
        </w:rPr>
        <w:t>account of the following:</w:t>
      </w:r>
    </w:p>
    <w:p w14:paraId="2F40EEDA" w14:textId="0E0B1143" w:rsidR="008033C1" w:rsidRPr="00CC6A13" w:rsidRDefault="00BA3FE9" w:rsidP="000E1131">
      <w:pPr>
        <w:pStyle w:val="Default"/>
        <w:numPr>
          <w:ilvl w:val="0"/>
          <w:numId w:val="4"/>
        </w:numPr>
        <w:ind w:left="426" w:right="-330" w:hanging="142"/>
        <w:jc w:val="both"/>
        <w:rPr>
          <w:rFonts w:asciiTheme="minorHAnsi" w:hAnsiTheme="minorHAnsi" w:cstheme="minorHAnsi"/>
          <w:sz w:val="22"/>
          <w:szCs w:val="22"/>
        </w:rPr>
      </w:pPr>
      <w:r w:rsidRPr="00CC6A13">
        <w:rPr>
          <w:rFonts w:asciiTheme="minorHAnsi" w:hAnsiTheme="minorHAnsi" w:cstheme="minorHAnsi"/>
          <w:sz w:val="22"/>
          <w:szCs w:val="22"/>
        </w:rPr>
        <w:t>University Professorial Performance Curves</w:t>
      </w:r>
      <w:r w:rsidR="007554AA" w:rsidRPr="00CC6A13">
        <w:rPr>
          <w:rStyle w:val="FootnoteReference"/>
          <w:rFonts w:asciiTheme="minorHAnsi" w:hAnsiTheme="minorHAnsi" w:cstheme="minorHAnsi"/>
          <w:sz w:val="22"/>
          <w:szCs w:val="22"/>
        </w:rPr>
        <w:footnoteReference w:id="1"/>
      </w:r>
      <w:r w:rsidRPr="00CC6A13">
        <w:rPr>
          <w:rFonts w:asciiTheme="minorHAnsi" w:hAnsiTheme="minorHAnsi" w:cstheme="minorHAnsi"/>
          <w:sz w:val="22"/>
          <w:szCs w:val="22"/>
        </w:rPr>
        <w:t>;</w:t>
      </w:r>
    </w:p>
    <w:p w14:paraId="6917DBA3" w14:textId="77777777" w:rsidR="008033C1" w:rsidRPr="00CC6A13" w:rsidRDefault="00BA3FE9" w:rsidP="000E1131">
      <w:pPr>
        <w:pStyle w:val="Default"/>
        <w:numPr>
          <w:ilvl w:val="0"/>
          <w:numId w:val="4"/>
        </w:numPr>
        <w:ind w:left="426" w:right="-330" w:hanging="142"/>
        <w:jc w:val="both"/>
        <w:rPr>
          <w:rFonts w:asciiTheme="minorHAnsi" w:hAnsiTheme="minorHAnsi" w:cstheme="minorHAnsi"/>
          <w:sz w:val="22"/>
          <w:szCs w:val="22"/>
        </w:rPr>
      </w:pPr>
      <w:r w:rsidRPr="00CC6A13">
        <w:rPr>
          <w:rFonts w:asciiTheme="minorHAnsi" w:hAnsiTheme="minorHAnsi" w:cstheme="minorHAnsi"/>
          <w:sz w:val="22"/>
          <w:szCs w:val="22"/>
        </w:rPr>
        <w:t>Financial Modelling (excluding the Vice-Chancellor);</w:t>
      </w:r>
    </w:p>
    <w:p w14:paraId="0E47E5D2" w14:textId="083A2CAF" w:rsidR="008033C1" w:rsidRPr="00CC6A13" w:rsidRDefault="00BA3FE9" w:rsidP="000E1131">
      <w:pPr>
        <w:pStyle w:val="Default"/>
        <w:numPr>
          <w:ilvl w:val="0"/>
          <w:numId w:val="4"/>
        </w:numPr>
        <w:ind w:left="426" w:right="-330" w:hanging="142"/>
        <w:jc w:val="both"/>
        <w:rPr>
          <w:rFonts w:asciiTheme="minorHAnsi" w:hAnsiTheme="minorHAnsi" w:cstheme="minorHAnsi"/>
          <w:sz w:val="22"/>
          <w:szCs w:val="22"/>
        </w:rPr>
      </w:pPr>
      <w:r w:rsidRPr="00CC6A13">
        <w:rPr>
          <w:rFonts w:asciiTheme="minorHAnsi" w:hAnsiTheme="minorHAnsi" w:cstheme="minorHAnsi"/>
          <w:sz w:val="22"/>
          <w:szCs w:val="22"/>
        </w:rPr>
        <w:t>Summary of the Senior Leadership Team, Directors and Associate Directors in scope for</w:t>
      </w:r>
      <w:r w:rsidR="006D552D" w:rsidRPr="00CC6A13">
        <w:rPr>
          <w:rFonts w:asciiTheme="minorHAnsi" w:hAnsiTheme="minorHAnsi" w:cstheme="minorHAnsi"/>
          <w:sz w:val="22"/>
          <w:szCs w:val="22"/>
        </w:rPr>
        <w:t xml:space="preserve"> </w:t>
      </w:r>
      <w:r w:rsidRPr="00CC6A13">
        <w:rPr>
          <w:rFonts w:asciiTheme="minorHAnsi" w:hAnsiTheme="minorHAnsi" w:cstheme="minorHAnsi"/>
          <w:sz w:val="22"/>
          <w:szCs w:val="22"/>
        </w:rPr>
        <w:t>consideration for remuneration (excluding the Vice-Chancellor) and the impact of the</w:t>
      </w:r>
      <w:r w:rsidR="0098601C" w:rsidRPr="00CC6A13">
        <w:rPr>
          <w:rFonts w:asciiTheme="minorHAnsi" w:hAnsiTheme="minorHAnsi" w:cstheme="minorHAnsi"/>
          <w:sz w:val="22"/>
          <w:szCs w:val="22"/>
        </w:rPr>
        <w:t xml:space="preserve"> </w:t>
      </w:r>
      <w:r w:rsidRPr="00CC6A13">
        <w:rPr>
          <w:rFonts w:asciiTheme="minorHAnsi" w:hAnsiTheme="minorHAnsi" w:cstheme="minorHAnsi"/>
          <w:sz w:val="22"/>
          <w:szCs w:val="22"/>
        </w:rPr>
        <w:t>recommended remuneration increases;</w:t>
      </w:r>
    </w:p>
    <w:p w14:paraId="7748606F" w14:textId="77777777" w:rsidR="008033C1" w:rsidRPr="00CC6A13" w:rsidRDefault="00BA3FE9" w:rsidP="000E1131">
      <w:pPr>
        <w:pStyle w:val="Default"/>
        <w:numPr>
          <w:ilvl w:val="0"/>
          <w:numId w:val="4"/>
        </w:numPr>
        <w:ind w:left="426" w:right="-330" w:hanging="142"/>
        <w:jc w:val="both"/>
        <w:rPr>
          <w:rFonts w:asciiTheme="minorHAnsi" w:hAnsiTheme="minorHAnsi" w:cstheme="minorHAnsi"/>
          <w:sz w:val="22"/>
          <w:szCs w:val="22"/>
        </w:rPr>
      </w:pPr>
      <w:r w:rsidRPr="00CC6A13">
        <w:rPr>
          <w:rFonts w:asciiTheme="minorHAnsi" w:hAnsiTheme="minorHAnsi" w:cstheme="minorHAnsi"/>
          <w:sz w:val="22"/>
          <w:szCs w:val="22"/>
        </w:rPr>
        <w:t>Detailed performance and remuneration recommendations for Professors, Academic Leaders, and Deputy Executive Deans.</w:t>
      </w:r>
    </w:p>
    <w:p w14:paraId="53696041" w14:textId="77777777" w:rsidR="00B6014C" w:rsidRPr="00CC6A13" w:rsidRDefault="00B6014C" w:rsidP="000E1131">
      <w:pPr>
        <w:spacing w:after="0" w:line="240" w:lineRule="auto"/>
        <w:ind w:right="-330"/>
        <w:jc w:val="both"/>
        <w:rPr>
          <w:rFonts w:asciiTheme="minorHAnsi" w:hAnsiTheme="minorHAnsi" w:cstheme="minorHAnsi"/>
        </w:rPr>
      </w:pPr>
    </w:p>
    <w:p w14:paraId="0FD85B7C" w14:textId="7827AE56" w:rsidR="008033C1" w:rsidRPr="00CC6A13" w:rsidRDefault="00745C86" w:rsidP="000E1131">
      <w:pPr>
        <w:spacing w:after="0" w:line="240" w:lineRule="auto"/>
        <w:ind w:right="-330"/>
        <w:jc w:val="both"/>
        <w:rPr>
          <w:rFonts w:asciiTheme="minorHAnsi" w:hAnsiTheme="minorHAnsi" w:cstheme="minorHAnsi"/>
        </w:rPr>
      </w:pPr>
      <w:r w:rsidRPr="00CC6A13">
        <w:rPr>
          <w:rFonts w:asciiTheme="minorHAnsi" w:hAnsiTheme="minorHAnsi" w:cstheme="minorHAnsi"/>
        </w:rPr>
        <w:t>F</w:t>
      </w:r>
      <w:r w:rsidR="00BA3FE9" w:rsidRPr="00CC6A13">
        <w:rPr>
          <w:rFonts w:asciiTheme="minorHAnsi" w:hAnsiTheme="minorHAnsi" w:cstheme="minorHAnsi"/>
        </w:rPr>
        <w:t xml:space="preserve">actors considered as part of </w:t>
      </w:r>
      <w:r w:rsidR="00B6014C" w:rsidRPr="00CC6A13">
        <w:rPr>
          <w:rFonts w:asciiTheme="minorHAnsi" w:hAnsiTheme="minorHAnsi" w:cstheme="minorHAnsi"/>
        </w:rPr>
        <w:t xml:space="preserve">previous </w:t>
      </w:r>
      <w:r w:rsidR="00BA3FE9" w:rsidRPr="00CC6A13">
        <w:rPr>
          <w:rFonts w:asciiTheme="minorHAnsi" w:hAnsiTheme="minorHAnsi" w:cstheme="minorHAnsi"/>
        </w:rPr>
        <w:t xml:space="preserve">performance reward proposals </w:t>
      </w:r>
      <w:r w:rsidR="00B6014C" w:rsidRPr="00CC6A13">
        <w:rPr>
          <w:rFonts w:asciiTheme="minorHAnsi" w:hAnsiTheme="minorHAnsi" w:cstheme="minorHAnsi"/>
        </w:rPr>
        <w:t>ha</w:t>
      </w:r>
      <w:r w:rsidR="00DE6BD4" w:rsidRPr="00CC6A13">
        <w:rPr>
          <w:rFonts w:asciiTheme="minorHAnsi" w:hAnsiTheme="minorHAnsi" w:cstheme="minorHAnsi"/>
        </w:rPr>
        <w:t>ve</w:t>
      </w:r>
      <w:r w:rsidR="00B6014C" w:rsidRPr="00CC6A13">
        <w:rPr>
          <w:rFonts w:asciiTheme="minorHAnsi" w:hAnsiTheme="minorHAnsi" w:cstheme="minorHAnsi"/>
        </w:rPr>
        <w:t xml:space="preserve"> </w:t>
      </w:r>
      <w:r w:rsidR="00BA3FE9" w:rsidRPr="00CC6A13">
        <w:rPr>
          <w:rFonts w:asciiTheme="minorHAnsi" w:hAnsiTheme="minorHAnsi" w:cstheme="minorHAnsi"/>
        </w:rPr>
        <w:t>include</w:t>
      </w:r>
      <w:r w:rsidR="00B6014C" w:rsidRPr="00CC6A13">
        <w:rPr>
          <w:rFonts w:asciiTheme="minorHAnsi" w:hAnsiTheme="minorHAnsi" w:cstheme="minorHAnsi"/>
        </w:rPr>
        <w:t>d</w:t>
      </w:r>
      <w:r w:rsidR="00BA3FE9" w:rsidRPr="00CC6A13">
        <w:rPr>
          <w:rFonts w:asciiTheme="minorHAnsi" w:hAnsiTheme="minorHAnsi" w:cstheme="minorHAnsi"/>
        </w:rPr>
        <w:t>:</w:t>
      </w:r>
      <w:r w:rsidR="00F905C7" w:rsidRPr="00CC6A13">
        <w:rPr>
          <w:rFonts w:asciiTheme="minorHAnsi" w:hAnsiTheme="minorHAnsi" w:cstheme="minorHAnsi"/>
        </w:rPr>
        <w:t xml:space="preserve"> </w:t>
      </w:r>
    </w:p>
    <w:p w14:paraId="45B6A7F7" w14:textId="6278B093" w:rsidR="008033C1" w:rsidRPr="00CC6A13" w:rsidRDefault="00BA3FE9" w:rsidP="000E1131">
      <w:pPr>
        <w:spacing w:after="0" w:line="240" w:lineRule="auto"/>
        <w:ind w:left="426" w:right="-330" w:hanging="426"/>
        <w:jc w:val="both"/>
        <w:rPr>
          <w:rFonts w:asciiTheme="minorHAnsi" w:hAnsiTheme="minorHAnsi" w:cstheme="minorHAnsi"/>
        </w:rPr>
      </w:pPr>
      <w:r w:rsidRPr="00CC6A13">
        <w:rPr>
          <w:rFonts w:asciiTheme="minorHAnsi" w:hAnsiTheme="minorHAnsi" w:cstheme="minorHAnsi"/>
        </w:rPr>
        <w:t>a)</w:t>
      </w:r>
      <w:r w:rsidRPr="00CC6A13">
        <w:rPr>
          <w:rFonts w:asciiTheme="minorHAnsi" w:hAnsiTheme="minorHAnsi" w:cstheme="minorHAnsi"/>
        </w:rPr>
        <w:tab/>
        <w:t>performance in support of the institution’s strategic objectives in areas such as</w:t>
      </w:r>
      <w:r w:rsidR="00565092" w:rsidRPr="00CC6A13">
        <w:rPr>
          <w:rFonts w:asciiTheme="minorHAnsi" w:hAnsiTheme="minorHAnsi" w:cstheme="minorHAnsi"/>
        </w:rPr>
        <w:t xml:space="preserve"> </w:t>
      </w:r>
      <w:r w:rsidRPr="00CC6A13">
        <w:rPr>
          <w:rFonts w:asciiTheme="minorHAnsi" w:hAnsiTheme="minorHAnsi" w:cstheme="minorHAnsi"/>
        </w:rPr>
        <w:t>Research;</w:t>
      </w:r>
      <w:r w:rsidR="0098601C" w:rsidRPr="00CC6A13">
        <w:rPr>
          <w:rFonts w:asciiTheme="minorHAnsi" w:hAnsiTheme="minorHAnsi" w:cstheme="minorHAnsi"/>
        </w:rPr>
        <w:t xml:space="preserve"> </w:t>
      </w:r>
      <w:r w:rsidRPr="00CC6A13">
        <w:rPr>
          <w:rFonts w:asciiTheme="minorHAnsi" w:hAnsiTheme="minorHAnsi" w:cstheme="minorHAnsi"/>
        </w:rPr>
        <w:t>Teaching;</w:t>
      </w:r>
      <w:r w:rsidR="00565092" w:rsidRPr="00CC6A13">
        <w:rPr>
          <w:rFonts w:asciiTheme="minorHAnsi" w:hAnsiTheme="minorHAnsi" w:cstheme="minorHAnsi"/>
        </w:rPr>
        <w:t xml:space="preserve"> </w:t>
      </w:r>
      <w:r w:rsidRPr="00CC6A13">
        <w:rPr>
          <w:rFonts w:asciiTheme="minorHAnsi" w:hAnsiTheme="minorHAnsi" w:cstheme="minorHAnsi"/>
        </w:rPr>
        <w:t>Innovation and Engagement;</w:t>
      </w:r>
      <w:r w:rsidR="00565092" w:rsidRPr="00CC6A13">
        <w:rPr>
          <w:rFonts w:asciiTheme="minorHAnsi" w:hAnsiTheme="minorHAnsi" w:cstheme="minorHAnsi"/>
        </w:rPr>
        <w:t xml:space="preserve"> </w:t>
      </w:r>
      <w:r w:rsidRPr="00CC6A13">
        <w:rPr>
          <w:rFonts w:asciiTheme="minorHAnsi" w:hAnsiTheme="minorHAnsi" w:cstheme="minorHAnsi"/>
        </w:rPr>
        <w:t>Leadership and Management;</w:t>
      </w:r>
      <w:r w:rsidR="00565092" w:rsidRPr="00CC6A13">
        <w:rPr>
          <w:rFonts w:asciiTheme="minorHAnsi" w:hAnsiTheme="minorHAnsi" w:cstheme="minorHAnsi"/>
        </w:rPr>
        <w:t xml:space="preserve"> </w:t>
      </w:r>
      <w:r w:rsidRPr="00CC6A13">
        <w:rPr>
          <w:rFonts w:asciiTheme="minorHAnsi" w:hAnsiTheme="minorHAnsi" w:cstheme="minorHAnsi"/>
        </w:rPr>
        <w:t>Partnerships and external relations internationally, nationally and locally;</w:t>
      </w:r>
      <w:r w:rsidR="00565092" w:rsidRPr="00CC6A13">
        <w:rPr>
          <w:rFonts w:asciiTheme="minorHAnsi" w:hAnsiTheme="minorHAnsi" w:cstheme="minorHAnsi"/>
        </w:rPr>
        <w:t xml:space="preserve"> and </w:t>
      </w:r>
      <w:r w:rsidRPr="00CC6A13">
        <w:rPr>
          <w:rFonts w:asciiTheme="minorHAnsi" w:hAnsiTheme="minorHAnsi" w:cstheme="minorHAnsi"/>
        </w:rPr>
        <w:t>Major initiatives and projects;</w:t>
      </w:r>
    </w:p>
    <w:p w14:paraId="0B56953C" w14:textId="77777777" w:rsidR="008033C1" w:rsidRPr="00CC6A13" w:rsidRDefault="00BA3FE9" w:rsidP="000E1131">
      <w:pPr>
        <w:spacing w:after="0" w:line="240" w:lineRule="auto"/>
        <w:ind w:left="426" w:right="-330" w:hanging="426"/>
        <w:jc w:val="both"/>
        <w:rPr>
          <w:rFonts w:asciiTheme="minorHAnsi" w:hAnsiTheme="minorHAnsi" w:cstheme="minorHAnsi"/>
        </w:rPr>
      </w:pPr>
      <w:r w:rsidRPr="00CC6A13">
        <w:rPr>
          <w:rFonts w:asciiTheme="minorHAnsi" w:hAnsiTheme="minorHAnsi" w:cstheme="minorHAnsi"/>
        </w:rPr>
        <w:t>b)</w:t>
      </w:r>
      <w:r w:rsidRPr="00CC6A13">
        <w:rPr>
          <w:rFonts w:asciiTheme="minorHAnsi" w:hAnsiTheme="minorHAnsi" w:cstheme="minorHAnsi"/>
        </w:rPr>
        <w:tab/>
        <w:t>the size and complexity of the institution;</w:t>
      </w:r>
    </w:p>
    <w:p w14:paraId="13A7E4DC" w14:textId="77777777" w:rsidR="008033C1" w:rsidRPr="00CC6A13" w:rsidRDefault="00BA3FE9" w:rsidP="000E1131">
      <w:pPr>
        <w:spacing w:after="0" w:line="240" w:lineRule="auto"/>
        <w:ind w:left="426" w:right="-330" w:hanging="426"/>
        <w:jc w:val="both"/>
        <w:rPr>
          <w:rFonts w:asciiTheme="minorHAnsi" w:hAnsiTheme="minorHAnsi" w:cstheme="minorHAnsi"/>
        </w:rPr>
      </w:pPr>
      <w:r w:rsidRPr="00CC6A13">
        <w:rPr>
          <w:rFonts w:asciiTheme="minorHAnsi" w:hAnsiTheme="minorHAnsi" w:cstheme="minorHAnsi"/>
        </w:rPr>
        <w:t>c)</w:t>
      </w:r>
      <w:r w:rsidRPr="00CC6A13">
        <w:rPr>
          <w:rFonts w:asciiTheme="minorHAnsi" w:hAnsiTheme="minorHAnsi" w:cstheme="minorHAnsi"/>
        </w:rPr>
        <w:tab/>
        <w:t>the nature of the HE markets and issues of recruitment and retention;</w:t>
      </w:r>
    </w:p>
    <w:p w14:paraId="2B037908" w14:textId="77777777" w:rsidR="008033C1" w:rsidRPr="00CC6A13" w:rsidRDefault="00BA3FE9" w:rsidP="000E1131">
      <w:pPr>
        <w:spacing w:after="0" w:line="240" w:lineRule="auto"/>
        <w:ind w:left="426" w:right="-330" w:hanging="426"/>
        <w:jc w:val="both"/>
        <w:rPr>
          <w:rFonts w:asciiTheme="minorHAnsi" w:hAnsiTheme="minorHAnsi" w:cstheme="minorHAnsi"/>
        </w:rPr>
      </w:pPr>
      <w:r w:rsidRPr="00CC6A13">
        <w:rPr>
          <w:rFonts w:asciiTheme="minorHAnsi" w:hAnsiTheme="minorHAnsi" w:cstheme="minorHAnsi"/>
        </w:rPr>
        <w:t>d)</w:t>
      </w:r>
      <w:r w:rsidRPr="00CC6A13">
        <w:rPr>
          <w:rFonts w:asciiTheme="minorHAnsi" w:hAnsiTheme="minorHAnsi" w:cstheme="minorHAnsi"/>
        </w:rPr>
        <w:tab/>
        <w:t>the institution’s objectives in relation to the diversity of the workforce; and</w:t>
      </w:r>
    </w:p>
    <w:p w14:paraId="3F46E8B8" w14:textId="77777777" w:rsidR="008033C1" w:rsidRPr="00CC6A13" w:rsidRDefault="00BA3FE9" w:rsidP="000E1131">
      <w:pPr>
        <w:spacing w:after="0" w:line="240" w:lineRule="auto"/>
        <w:ind w:left="426" w:right="-330" w:hanging="426"/>
        <w:jc w:val="both"/>
        <w:rPr>
          <w:rFonts w:asciiTheme="minorHAnsi" w:hAnsiTheme="minorHAnsi" w:cstheme="minorHAnsi"/>
        </w:rPr>
      </w:pPr>
      <w:r w:rsidRPr="00CC6A13">
        <w:rPr>
          <w:rFonts w:asciiTheme="minorHAnsi" w:hAnsiTheme="minorHAnsi" w:cstheme="minorHAnsi"/>
        </w:rPr>
        <w:t>e)</w:t>
      </w:r>
      <w:r w:rsidRPr="00CC6A13">
        <w:rPr>
          <w:rFonts w:asciiTheme="minorHAnsi" w:hAnsiTheme="minorHAnsi" w:cstheme="minorHAnsi"/>
        </w:rPr>
        <w:tab/>
        <w:t>that some staff are on NHS salaries not determined by the university.</w:t>
      </w:r>
    </w:p>
    <w:p w14:paraId="1E5AB941" w14:textId="77777777" w:rsidR="008033C1" w:rsidRPr="00CC6A13" w:rsidRDefault="008033C1" w:rsidP="000E1131">
      <w:pPr>
        <w:spacing w:after="0" w:line="240" w:lineRule="auto"/>
        <w:ind w:right="-330"/>
        <w:rPr>
          <w:rFonts w:asciiTheme="minorHAnsi" w:hAnsiTheme="minorHAnsi" w:cstheme="minorHAnsi"/>
        </w:rPr>
      </w:pPr>
    </w:p>
    <w:p w14:paraId="1981C75C" w14:textId="648CF677" w:rsidR="008033C1" w:rsidRPr="00CC6A13" w:rsidRDefault="00BA3FE9" w:rsidP="000E1131">
      <w:pPr>
        <w:spacing w:after="0" w:line="240" w:lineRule="auto"/>
        <w:ind w:right="-330"/>
        <w:rPr>
          <w:rFonts w:asciiTheme="minorHAnsi" w:hAnsiTheme="minorHAnsi" w:cstheme="minorHAnsi"/>
        </w:rPr>
      </w:pPr>
      <w:r w:rsidRPr="00CC6A13">
        <w:rPr>
          <w:rFonts w:asciiTheme="minorHAnsi" w:hAnsiTheme="minorHAnsi" w:cstheme="minorHAnsi"/>
        </w:rPr>
        <w:t xml:space="preserve">Data to support these indicators </w:t>
      </w:r>
      <w:r w:rsidR="00B6014C" w:rsidRPr="00CC6A13">
        <w:rPr>
          <w:rFonts w:asciiTheme="minorHAnsi" w:hAnsiTheme="minorHAnsi" w:cstheme="minorHAnsi"/>
        </w:rPr>
        <w:t xml:space="preserve">was </w:t>
      </w:r>
      <w:r w:rsidRPr="00CC6A13">
        <w:rPr>
          <w:rFonts w:asciiTheme="minorHAnsi" w:hAnsiTheme="minorHAnsi" w:cstheme="minorHAnsi"/>
        </w:rPr>
        <w:t>drawn from:</w:t>
      </w:r>
    </w:p>
    <w:p w14:paraId="22C9D89C" w14:textId="77777777" w:rsidR="008033C1" w:rsidRPr="00CC6A13" w:rsidRDefault="00BA3FE9" w:rsidP="000E1131">
      <w:pPr>
        <w:spacing w:after="0" w:line="240" w:lineRule="auto"/>
        <w:ind w:left="426" w:right="-330" w:hanging="426"/>
        <w:jc w:val="both"/>
        <w:rPr>
          <w:rFonts w:asciiTheme="minorHAnsi" w:hAnsiTheme="minorHAnsi" w:cstheme="minorHAnsi"/>
        </w:rPr>
      </w:pPr>
      <w:r w:rsidRPr="00CC6A13">
        <w:rPr>
          <w:rFonts w:asciiTheme="minorHAnsi" w:hAnsiTheme="minorHAnsi" w:cstheme="minorHAnsi"/>
        </w:rPr>
        <w:t>a)</w:t>
      </w:r>
      <w:r w:rsidRPr="00CC6A13">
        <w:rPr>
          <w:rFonts w:asciiTheme="minorHAnsi" w:hAnsiTheme="minorHAnsi" w:cstheme="minorHAnsi"/>
        </w:rPr>
        <w:tab/>
        <w:t>the Universities and Colleges Employer Association’s Senior Staff Remuneration Survey;</w:t>
      </w:r>
    </w:p>
    <w:p w14:paraId="34879763" w14:textId="77777777" w:rsidR="008033C1" w:rsidRPr="00CC6A13" w:rsidRDefault="00BA3FE9" w:rsidP="000E1131">
      <w:pPr>
        <w:spacing w:after="0" w:line="240" w:lineRule="auto"/>
        <w:ind w:left="426" w:right="-330" w:hanging="426"/>
        <w:jc w:val="both"/>
        <w:rPr>
          <w:rFonts w:asciiTheme="minorHAnsi" w:hAnsiTheme="minorHAnsi" w:cstheme="minorHAnsi"/>
        </w:rPr>
      </w:pPr>
      <w:r w:rsidRPr="00CC6A13">
        <w:rPr>
          <w:rFonts w:asciiTheme="minorHAnsi" w:hAnsiTheme="minorHAnsi" w:cstheme="minorHAnsi"/>
        </w:rPr>
        <w:t>b)</w:t>
      </w:r>
      <w:r w:rsidRPr="00CC6A13">
        <w:rPr>
          <w:rFonts w:asciiTheme="minorHAnsi" w:hAnsiTheme="minorHAnsi" w:cstheme="minorHAnsi"/>
        </w:rPr>
        <w:tab/>
        <w:t>analysis of salary distributions.</w:t>
      </w:r>
    </w:p>
    <w:p w14:paraId="6E07623F" w14:textId="77777777" w:rsidR="009A6FAC" w:rsidRPr="00CC6A13" w:rsidRDefault="009A6FAC" w:rsidP="000E1131">
      <w:pPr>
        <w:spacing w:after="0" w:line="240" w:lineRule="auto"/>
        <w:ind w:right="-330"/>
        <w:jc w:val="both"/>
        <w:rPr>
          <w:rFonts w:asciiTheme="minorHAnsi" w:hAnsiTheme="minorHAnsi" w:cstheme="minorHAnsi"/>
          <w:color w:val="2F5496" w:themeColor="accent1" w:themeShade="BF"/>
          <w:spacing w:val="-5"/>
          <w:shd w:val="clear" w:color="auto" w:fill="FCFCFC"/>
        </w:rPr>
      </w:pPr>
    </w:p>
    <w:p w14:paraId="7110F9E9" w14:textId="38DC1466" w:rsidR="008033C1" w:rsidRPr="00CC6A13" w:rsidRDefault="00377883" w:rsidP="000E1131">
      <w:pPr>
        <w:spacing w:after="0" w:line="240" w:lineRule="auto"/>
        <w:ind w:right="-330"/>
        <w:jc w:val="both"/>
        <w:rPr>
          <w:rFonts w:asciiTheme="minorHAnsi" w:hAnsiTheme="minorHAnsi" w:cstheme="minorHAnsi"/>
        </w:rPr>
      </w:pPr>
      <w:r w:rsidRPr="00CC6A13">
        <w:rPr>
          <w:rFonts w:asciiTheme="minorHAnsi" w:hAnsiTheme="minorHAnsi" w:cstheme="minorHAnsi"/>
        </w:rPr>
        <w:t xml:space="preserve">Recognising the University’s vision as a principled, purposeful and resilient University that balances excellent teaching with world-leading research and innovation in an environment which enables our students and colleagues to excel, alongside being valued globally as a trusted partner who is deeply committed to our region and proud to be a University for Wales, it is essential that the University offers a competitive remuneration package </w:t>
      </w:r>
      <w:r w:rsidRPr="00CC6A13">
        <w:rPr>
          <w:rFonts w:asciiTheme="minorHAnsi" w:hAnsiTheme="minorHAnsi" w:cstheme="minorHAnsi"/>
          <w:color w:val="000000" w:themeColor="text1"/>
        </w:rPr>
        <w:t>for its Vice-Chancellor role.</w:t>
      </w:r>
      <w:r w:rsidR="00F905C7" w:rsidRPr="00CC6A13">
        <w:rPr>
          <w:rFonts w:asciiTheme="minorHAnsi" w:hAnsiTheme="minorHAnsi" w:cstheme="minorHAnsi"/>
          <w:color w:val="000000" w:themeColor="text1"/>
        </w:rPr>
        <w:t xml:space="preserve"> </w:t>
      </w:r>
      <w:r w:rsidRPr="00CC6A13">
        <w:rPr>
          <w:rFonts w:asciiTheme="minorHAnsi" w:hAnsiTheme="minorHAnsi" w:cstheme="minorHAnsi"/>
          <w:color w:val="000000" w:themeColor="text1"/>
        </w:rPr>
        <w:t xml:space="preserve">This also recognises </w:t>
      </w:r>
      <w:r w:rsidR="00643FED" w:rsidRPr="00CC6A13">
        <w:rPr>
          <w:rFonts w:asciiTheme="minorHAnsi" w:hAnsiTheme="minorHAnsi" w:cstheme="minorHAnsi"/>
          <w:color w:val="000000" w:themeColor="text1"/>
        </w:rPr>
        <w:t xml:space="preserve">the number of University staff and students, and </w:t>
      </w:r>
      <w:r w:rsidRPr="00CC6A13">
        <w:rPr>
          <w:rFonts w:asciiTheme="minorHAnsi" w:hAnsiTheme="minorHAnsi" w:cstheme="minorHAnsi"/>
          <w:color w:val="000000" w:themeColor="text1"/>
        </w:rPr>
        <w:t>the</w:t>
      </w:r>
      <w:r w:rsidRPr="00CC6A13">
        <w:rPr>
          <w:rFonts w:asciiTheme="minorHAnsi" w:hAnsiTheme="minorHAnsi" w:cstheme="minorHAnsi"/>
        </w:rPr>
        <w:t xml:space="preserve"> diverse and complex nature of the organisation</w:t>
      </w:r>
      <w:r w:rsidR="0098601C" w:rsidRPr="00CC6A13">
        <w:rPr>
          <w:rFonts w:asciiTheme="minorHAnsi" w:hAnsiTheme="minorHAnsi" w:cstheme="minorHAnsi"/>
        </w:rPr>
        <w:t>.</w:t>
      </w:r>
      <w:r w:rsidRPr="00CC6A13">
        <w:rPr>
          <w:rFonts w:asciiTheme="minorHAnsi" w:hAnsiTheme="minorHAnsi" w:cstheme="minorHAnsi"/>
        </w:rPr>
        <w:t xml:space="preserve"> </w:t>
      </w:r>
    </w:p>
    <w:p w14:paraId="02FBD381" w14:textId="77777777" w:rsidR="00B31AC0" w:rsidRPr="00CC6A13" w:rsidRDefault="00B31AC0" w:rsidP="000E1131">
      <w:pPr>
        <w:spacing w:after="0" w:line="240" w:lineRule="auto"/>
        <w:ind w:right="-330"/>
        <w:rPr>
          <w:rFonts w:asciiTheme="minorHAnsi" w:hAnsiTheme="minorHAnsi" w:cstheme="minorHAnsi"/>
        </w:rPr>
      </w:pPr>
    </w:p>
    <w:p w14:paraId="0E9563C8" w14:textId="302A0BF9" w:rsidR="007C7CAB" w:rsidRPr="00CC6A13" w:rsidRDefault="00BA3FE9" w:rsidP="000E1131">
      <w:pPr>
        <w:spacing w:after="0" w:line="240" w:lineRule="auto"/>
        <w:ind w:right="-330"/>
        <w:jc w:val="both"/>
        <w:rPr>
          <w:rFonts w:asciiTheme="minorHAnsi" w:hAnsiTheme="minorHAnsi" w:cstheme="minorHAnsi"/>
        </w:rPr>
      </w:pPr>
      <w:r w:rsidRPr="00CC6A13">
        <w:rPr>
          <w:rFonts w:asciiTheme="minorHAnsi" w:hAnsiTheme="minorHAnsi" w:cstheme="minorHAnsi"/>
        </w:rPr>
        <w:t xml:space="preserve">The Remuneration Committee </w:t>
      </w:r>
      <w:r w:rsidR="00377883" w:rsidRPr="00CC6A13">
        <w:rPr>
          <w:rFonts w:asciiTheme="minorHAnsi" w:hAnsiTheme="minorHAnsi" w:cstheme="minorHAnsi"/>
        </w:rPr>
        <w:t xml:space="preserve">is responsible for </w:t>
      </w:r>
      <w:r w:rsidR="00DE6BD4" w:rsidRPr="00CC6A13">
        <w:rPr>
          <w:rFonts w:asciiTheme="minorHAnsi" w:hAnsiTheme="minorHAnsi" w:cstheme="minorHAnsi"/>
        </w:rPr>
        <w:t>reviewing and determining all aspects of the remuneration, benefits and conditions of employment of the Vice-Chancellor</w:t>
      </w:r>
      <w:r w:rsidRPr="00CC6A13">
        <w:rPr>
          <w:rFonts w:asciiTheme="minorHAnsi" w:hAnsiTheme="minorHAnsi" w:cstheme="minorHAnsi"/>
        </w:rPr>
        <w:t xml:space="preserve">, taking account of the breadth of leadership and financial responsibilities, and delivery against the University’s strategic objectives. </w:t>
      </w:r>
      <w:r w:rsidR="007C7CAB" w:rsidRPr="00CC6A13">
        <w:rPr>
          <w:rFonts w:asciiTheme="minorHAnsi" w:hAnsiTheme="minorHAnsi" w:cstheme="minorHAnsi"/>
        </w:rPr>
        <w:t>The Vice-Chancellor is not in attendance for, and does not play a part in, the discussions and decisions of his own remuneration</w:t>
      </w:r>
      <w:r w:rsidR="00C0004B" w:rsidRPr="00CC6A13">
        <w:rPr>
          <w:rFonts w:asciiTheme="minorHAnsi" w:hAnsiTheme="minorHAnsi" w:cstheme="minorHAnsi"/>
        </w:rPr>
        <w:t>.</w:t>
      </w:r>
    </w:p>
    <w:p w14:paraId="29D0EC89" w14:textId="77777777" w:rsidR="00C0004B" w:rsidRPr="00CC6A13" w:rsidRDefault="00C0004B" w:rsidP="000E1131">
      <w:pPr>
        <w:spacing w:after="0" w:line="240" w:lineRule="auto"/>
        <w:ind w:right="-330"/>
        <w:jc w:val="both"/>
        <w:rPr>
          <w:rFonts w:asciiTheme="minorHAnsi" w:hAnsiTheme="minorHAnsi" w:cstheme="minorHAnsi"/>
        </w:rPr>
      </w:pPr>
    </w:p>
    <w:p w14:paraId="290D4C89" w14:textId="067CA261" w:rsidR="008033C1" w:rsidRPr="00CC6A13" w:rsidRDefault="00BA3FE9" w:rsidP="000E1131">
      <w:pPr>
        <w:spacing w:after="0" w:line="240" w:lineRule="auto"/>
        <w:ind w:right="-330"/>
        <w:jc w:val="both"/>
        <w:rPr>
          <w:rFonts w:asciiTheme="minorHAnsi" w:hAnsiTheme="minorHAnsi" w:cstheme="minorHAnsi"/>
        </w:rPr>
      </w:pPr>
      <w:r w:rsidRPr="00CC6A13">
        <w:rPr>
          <w:rFonts w:asciiTheme="minorHAnsi" w:hAnsiTheme="minorHAnsi" w:cstheme="minorHAnsi"/>
        </w:rPr>
        <w:t xml:space="preserve">In considering the Vice-Chancellor’s remuneration package, the Remuneration Committee considers the organisational context, alongside the Vice-Chancellor’s performance, general pay movement for all University staff, retention and any relevant market considerations, and is informed by </w:t>
      </w:r>
      <w:r w:rsidR="00CD543F" w:rsidRPr="00CC6A13">
        <w:rPr>
          <w:rFonts w:asciiTheme="minorHAnsi" w:hAnsiTheme="minorHAnsi" w:cstheme="minorHAnsi"/>
        </w:rPr>
        <w:t xml:space="preserve">internal benchmark data and </w:t>
      </w:r>
      <w:r w:rsidRPr="00CC6A13">
        <w:rPr>
          <w:rFonts w:asciiTheme="minorHAnsi" w:hAnsiTheme="minorHAnsi" w:cstheme="minorHAnsi"/>
        </w:rPr>
        <w:t>salary benchmarking information with comparator universities.</w:t>
      </w:r>
      <w:r w:rsidR="00F905C7" w:rsidRPr="00CC6A13">
        <w:rPr>
          <w:rFonts w:asciiTheme="minorHAnsi" w:hAnsiTheme="minorHAnsi" w:cstheme="minorHAnsi"/>
        </w:rPr>
        <w:t xml:space="preserve"> </w:t>
      </w:r>
    </w:p>
    <w:p w14:paraId="779CE801" w14:textId="77777777" w:rsidR="00B31AC0" w:rsidRPr="00CC6A13" w:rsidRDefault="00B31AC0" w:rsidP="000E1131">
      <w:pPr>
        <w:spacing w:after="0" w:line="240" w:lineRule="auto"/>
        <w:ind w:right="-330"/>
        <w:rPr>
          <w:rFonts w:asciiTheme="minorHAnsi" w:hAnsiTheme="minorHAnsi" w:cstheme="minorHAnsi"/>
        </w:rPr>
      </w:pPr>
    </w:p>
    <w:p w14:paraId="6DC1BCDF" w14:textId="1691E304" w:rsidR="008222F3" w:rsidRPr="00CC6A13" w:rsidRDefault="00590AB8" w:rsidP="000E1131">
      <w:pPr>
        <w:spacing w:after="0" w:line="240" w:lineRule="auto"/>
        <w:ind w:right="-330"/>
        <w:jc w:val="both"/>
        <w:rPr>
          <w:rFonts w:asciiTheme="minorHAnsi" w:hAnsiTheme="minorHAnsi" w:cstheme="minorHAnsi"/>
        </w:rPr>
      </w:pPr>
      <w:r w:rsidRPr="00CC6A13">
        <w:rPr>
          <w:rFonts w:asciiTheme="minorHAnsi" w:hAnsiTheme="minorHAnsi" w:cstheme="minorHAnsi"/>
        </w:rPr>
        <w:t>The</w:t>
      </w:r>
      <w:r w:rsidR="00A34582" w:rsidRPr="00CC6A13">
        <w:rPr>
          <w:rFonts w:asciiTheme="minorHAnsi" w:hAnsiTheme="minorHAnsi" w:cstheme="minorHAnsi"/>
        </w:rPr>
        <w:t xml:space="preserve"> University has </w:t>
      </w:r>
      <w:r w:rsidRPr="00CC6A13">
        <w:rPr>
          <w:rFonts w:asciiTheme="minorHAnsi" w:hAnsiTheme="minorHAnsi" w:cstheme="minorHAnsi"/>
        </w:rPr>
        <w:t>a formal performance development review (PDR)</w:t>
      </w:r>
      <w:r w:rsidR="00A34582" w:rsidRPr="00CC6A13">
        <w:rPr>
          <w:rFonts w:asciiTheme="minorHAnsi" w:hAnsiTheme="minorHAnsi" w:cstheme="minorHAnsi"/>
        </w:rPr>
        <w:t xml:space="preserve"> process in place for all staff including the Vice-Chancellor. As part of this process</w:t>
      </w:r>
      <w:r w:rsidR="007C7CAB" w:rsidRPr="00CC6A13">
        <w:rPr>
          <w:rFonts w:asciiTheme="minorHAnsi" w:hAnsiTheme="minorHAnsi" w:cstheme="minorHAnsi"/>
        </w:rPr>
        <w:t xml:space="preserve"> each year</w:t>
      </w:r>
      <w:r w:rsidR="00A34582" w:rsidRPr="00CC6A13">
        <w:rPr>
          <w:rFonts w:asciiTheme="minorHAnsi" w:hAnsiTheme="minorHAnsi" w:cstheme="minorHAnsi"/>
        </w:rPr>
        <w:t xml:space="preserve"> the Chair of Council meets with the Vice-Chancellor to review </w:t>
      </w:r>
      <w:r w:rsidR="009E61E6" w:rsidRPr="00CC6A13">
        <w:rPr>
          <w:rFonts w:asciiTheme="minorHAnsi" w:hAnsiTheme="minorHAnsi" w:cstheme="minorHAnsi"/>
        </w:rPr>
        <w:t xml:space="preserve">achievement against previously agreed objectives </w:t>
      </w:r>
      <w:r w:rsidR="00A34582" w:rsidRPr="00CC6A13">
        <w:rPr>
          <w:rFonts w:asciiTheme="minorHAnsi" w:hAnsiTheme="minorHAnsi" w:cstheme="minorHAnsi"/>
        </w:rPr>
        <w:t>and to set objectives for the coming year. The</w:t>
      </w:r>
      <w:r w:rsidR="00ED79B8" w:rsidRPr="00CC6A13">
        <w:rPr>
          <w:rFonts w:asciiTheme="minorHAnsi" w:hAnsiTheme="minorHAnsi" w:cstheme="minorHAnsi"/>
        </w:rPr>
        <w:t> </w:t>
      </w:r>
      <w:r w:rsidR="00A34582" w:rsidRPr="00CC6A13">
        <w:rPr>
          <w:rFonts w:asciiTheme="minorHAnsi" w:hAnsiTheme="minorHAnsi" w:cstheme="minorHAnsi"/>
        </w:rPr>
        <w:t xml:space="preserve">Vice-Chancellor shares these objectives with Council together with the University’s Annual Plan and institutional Objectives. </w:t>
      </w:r>
      <w:r w:rsidR="009E61E6" w:rsidRPr="00CC6A13">
        <w:rPr>
          <w:rFonts w:asciiTheme="minorHAnsi" w:hAnsiTheme="minorHAnsi" w:cstheme="minorHAnsi"/>
        </w:rPr>
        <w:t xml:space="preserve">In advance of the </w:t>
      </w:r>
      <w:r w:rsidR="00CD543F" w:rsidRPr="00CC6A13">
        <w:rPr>
          <w:rFonts w:asciiTheme="minorHAnsi" w:hAnsiTheme="minorHAnsi" w:cstheme="minorHAnsi"/>
        </w:rPr>
        <w:t xml:space="preserve">review </w:t>
      </w:r>
      <w:r w:rsidR="009E61E6" w:rsidRPr="00CC6A13">
        <w:rPr>
          <w:rFonts w:asciiTheme="minorHAnsi" w:hAnsiTheme="minorHAnsi" w:cstheme="minorHAnsi"/>
        </w:rPr>
        <w:t xml:space="preserve">meeting, the Chair of Council </w:t>
      </w:r>
      <w:r w:rsidR="00CD543F" w:rsidRPr="00CC6A13">
        <w:rPr>
          <w:rFonts w:asciiTheme="minorHAnsi" w:hAnsiTheme="minorHAnsi" w:cstheme="minorHAnsi"/>
        </w:rPr>
        <w:t>invites</w:t>
      </w:r>
      <w:r w:rsidR="009E61E6" w:rsidRPr="00CC6A13">
        <w:rPr>
          <w:rFonts w:asciiTheme="minorHAnsi" w:hAnsiTheme="minorHAnsi" w:cstheme="minorHAnsi"/>
        </w:rPr>
        <w:t xml:space="preserve"> comments </w:t>
      </w:r>
      <w:r w:rsidR="00CD543F" w:rsidRPr="00CC6A13">
        <w:rPr>
          <w:rFonts w:asciiTheme="minorHAnsi" w:hAnsiTheme="minorHAnsi" w:cstheme="minorHAnsi"/>
        </w:rPr>
        <w:t xml:space="preserve">and feedback </w:t>
      </w:r>
      <w:r w:rsidR="009E61E6" w:rsidRPr="00CC6A13">
        <w:rPr>
          <w:rFonts w:asciiTheme="minorHAnsi" w:hAnsiTheme="minorHAnsi" w:cstheme="minorHAnsi"/>
        </w:rPr>
        <w:t xml:space="preserve">on the Vice-Chancellor’s performance from </w:t>
      </w:r>
      <w:r w:rsidR="00A34582" w:rsidRPr="00CC6A13">
        <w:rPr>
          <w:rFonts w:asciiTheme="minorHAnsi" w:hAnsiTheme="minorHAnsi" w:cstheme="minorHAnsi"/>
        </w:rPr>
        <w:t>all members of Council including staff and student members</w:t>
      </w:r>
      <w:r w:rsidR="009E61E6" w:rsidRPr="00CC6A13">
        <w:rPr>
          <w:rFonts w:asciiTheme="minorHAnsi" w:hAnsiTheme="minorHAnsi" w:cstheme="minorHAnsi"/>
        </w:rPr>
        <w:t>. The</w:t>
      </w:r>
      <w:r w:rsidR="007C7CAB" w:rsidRPr="00CC6A13">
        <w:rPr>
          <w:rFonts w:asciiTheme="minorHAnsi" w:hAnsiTheme="minorHAnsi" w:cstheme="minorHAnsi"/>
        </w:rPr>
        <w:t xml:space="preserve"> Chair of Council</w:t>
      </w:r>
      <w:r w:rsidR="009E61E6" w:rsidRPr="00CC6A13">
        <w:rPr>
          <w:rFonts w:asciiTheme="minorHAnsi" w:hAnsiTheme="minorHAnsi" w:cstheme="minorHAnsi"/>
        </w:rPr>
        <w:t xml:space="preserve"> </w:t>
      </w:r>
      <w:r w:rsidR="007C7CAB" w:rsidRPr="00CC6A13">
        <w:rPr>
          <w:rFonts w:asciiTheme="minorHAnsi" w:hAnsiTheme="minorHAnsi" w:cstheme="minorHAnsi"/>
        </w:rPr>
        <w:t xml:space="preserve">reports the </w:t>
      </w:r>
      <w:r w:rsidR="009E61E6" w:rsidRPr="00CC6A13">
        <w:rPr>
          <w:rFonts w:asciiTheme="minorHAnsi" w:hAnsiTheme="minorHAnsi" w:cstheme="minorHAnsi"/>
        </w:rPr>
        <w:t xml:space="preserve">outcome </w:t>
      </w:r>
      <w:r w:rsidR="00CD543F" w:rsidRPr="00CC6A13">
        <w:rPr>
          <w:rFonts w:asciiTheme="minorHAnsi" w:hAnsiTheme="minorHAnsi" w:cstheme="minorHAnsi"/>
        </w:rPr>
        <w:t xml:space="preserve">of the review </w:t>
      </w:r>
      <w:r w:rsidR="007C7CAB" w:rsidRPr="00CC6A13">
        <w:rPr>
          <w:rFonts w:asciiTheme="minorHAnsi" w:hAnsiTheme="minorHAnsi" w:cstheme="minorHAnsi"/>
        </w:rPr>
        <w:t>to</w:t>
      </w:r>
      <w:r w:rsidR="009E61E6" w:rsidRPr="00CC6A13">
        <w:rPr>
          <w:rFonts w:asciiTheme="minorHAnsi" w:hAnsiTheme="minorHAnsi" w:cstheme="minorHAnsi"/>
        </w:rPr>
        <w:t xml:space="preserve"> the Remuneration C</w:t>
      </w:r>
      <w:r w:rsidR="00CD543F" w:rsidRPr="00CC6A13">
        <w:rPr>
          <w:rFonts w:asciiTheme="minorHAnsi" w:hAnsiTheme="minorHAnsi" w:cstheme="minorHAnsi"/>
        </w:rPr>
        <w:t xml:space="preserve">ommittee. </w:t>
      </w:r>
      <w:r w:rsidR="007C7CAB" w:rsidRPr="00CC6A13">
        <w:rPr>
          <w:rFonts w:asciiTheme="minorHAnsi" w:hAnsiTheme="minorHAnsi" w:cstheme="minorHAnsi"/>
        </w:rPr>
        <w:t>This</w:t>
      </w:r>
      <w:r w:rsidR="00ED79B8" w:rsidRPr="00CC6A13">
        <w:rPr>
          <w:rFonts w:asciiTheme="minorHAnsi" w:hAnsiTheme="minorHAnsi" w:cstheme="minorHAnsi"/>
        </w:rPr>
        <w:t> </w:t>
      </w:r>
      <w:r w:rsidR="007C7CAB" w:rsidRPr="00CC6A13">
        <w:rPr>
          <w:rFonts w:asciiTheme="minorHAnsi" w:hAnsiTheme="minorHAnsi" w:cstheme="minorHAnsi"/>
        </w:rPr>
        <w:t>year, t</w:t>
      </w:r>
      <w:r w:rsidR="00CD543F" w:rsidRPr="00CC6A13">
        <w:rPr>
          <w:rFonts w:asciiTheme="minorHAnsi" w:hAnsiTheme="minorHAnsi" w:cstheme="minorHAnsi"/>
        </w:rPr>
        <w:t>he</w:t>
      </w:r>
      <w:r w:rsidR="009E61E6" w:rsidRPr="00CC6A13">
        <w:rPr>
          <w:rFonts w:asciiTheme="minorHAnsi" w:hAnsiTheme="minorHAnsi" w:cstheme="minorHAnsi"/>
        </w:rPr>
        <w:t xml:space="preserve"> Chair of Council</w:t>
      </w:r>
      <w:r w:rsidR="00CD543F" w:rsidRPr="00CC6A13">
        <w:rPr>
          <w:rFonts w:asciiTheme="minorHAnsi" w:hAnsiTheme="minorHAnsi" w:cstheme="minorHAnsi"/>
        </w:rPr>
        <w:t xml:space="preserve"> </w:t>
      </w:r>
      <w:r w:rsidR="009E61E6" w:rsidRPr="00CC6A13">
        <w:rPr>
          <w:rFonts w:asciiTheme="minorHAnsi" w:hAnsiTheme="minorHAnsi" w:cstheme="minorHAnsi"/>
        </w:rPr>
        <w:t xml:space="preserve">reported that feedback </w:t>
      </w:r>
      <w:r w:rsidR="007C7CAB" w:rsidRPr="00CC6A13">
        <w:rPr>
          <w:rFonts w:asciiTheme="minorHAnsi" w:hAnsiTheme="minorHAnsi" w:cstheme="minorHAnsi"/>
        </w:rPr>
        <w:t xml:space="preserve">from members of Council </w:t>
      </w:r>
      <w:r w:rsidR="009E61E6" w:rsidRPr="00CC6A13">
        <w:rPr>
          <w:rFonts w:asciiTheme="minorHAnsi" w:hAnsiTheme="minorHAnsi" w:cstheme="minorHAnsi"/>
        </w:rPr>
        <w:t xml:space="preserve">had been unanimously positive, </w:t>
      </w:r>
      <w:r w:rsidR="00467481" w:rsidRPr="00CC6A13">
        <w:rPr>
          <w:rFonts w:asciiTheme="minorHAnsi" w:hAnsiTheme="minorHAnsi" w:cstheme="minorHAnsi"/>
        </w:rPr>
        <w:t xml:space="preserve">that the Vice-Chancellor had demonstrated </w:t>
      </w:r>
      <w:r w:rsidR="00C14BD9" w:rsidRPr="00CC6A13">
        <w:rPr>
          <w:rFonts w:asciiTheme="minorHAnsi" w:hAnsiTheme="minorHAnsi" w:cstheme="minorHAnsi"/>
        </w:rPr>
        <w:t>and</w:t>
      </w:r>
      <w:r w:rsidR="00467481" w:rsidRPr="00CC6A13">
        <w:rPr>
          <w:rFonts w:asciiTheme="minorHAnsi" w:hAnsiTheme="minorHAnsi" w:cstheme="minorHAnsi"/>
        </w:rPr>
        <w:t xml:space="preserve"> provided strong strategic leadership, that </w:t>
      </w:r>
      <w:r w:rsidR="0039614C" w:rsidRPr="00CC6A13">
        <w:rPr>
          <w:rFonts w:asciiTheme="minorHAnsi" w:hAnsiTheme="minorHAnsi" w:cstheme="minorHAnsi"/>
        </w:rPr>
        <w:t xml:space="preserve">while </w:t>
      </w:r>
      <w:r w:rsidR="00467481" w:rsidRPr="00CC6A13">
        <w:rPr>
          <w:rFonts w:asciiTheme="minorHAnsi" w:hAnsiTheme="minorHAnsi" w:cstheme="minorHAnsi"/>
        </w:rPr>
        <w:t xml:space="preserve">some </w:t>
      </w:r>
      <w:r w:rsidR="009E61E6" w:rsidRPr="00CC6A13">
        <w:rPr>
          <w:rFonts w:asciiTheme="minorHAnsi" w:hAnsiTheme="minorHAnsi" w:cstheme="minorHAnsi"/>
        </w:rPr>
        <w:t>objectives</w:t>
      </w:r>
      <w:r w:rsidR="00467481" w:rsidRPr="00CC6A13">
        <w:rPr>
          <w:rFonts w:asciiTheme="minorHAnsi" w:hAnsiTheme="minorHAnsi" w:cstheme="minorHAnsi"/>
        </w:rPr>
        <w:t xml:space="preserve"> had been achieved in full, good progress had been made in relation to others, while others were longer term and could not be </w:t>
      </w:r>
      <w:r w:rsidR="0039614C" w:rsidRPr="00CC6A13">
        <w:rPr>
          <w:rFonts w:asciiTheme="minorHAnsi" w:hAnsiTheme="minorHAnsi" w:cstheme="minorHAnsi"/>
        </w:rPr>
        <w:t>achieved</w:t>
      </w:r>
      <w:r w:rsidR="00467481" w:rsidRPr="00CC6A13">
        <w:rPr>
          <w:rFonts w:asciiTheme="minorHAnsi" w:hAnsiTheme="minorHAnsi" w:cstheme="minorHAnsi"/>
        </w:rPr>
        <w:t xml:space="preserve"> in a single year. Members </w:t>
      </w:r>
      <w:r w:rsidR="00C12D06" w:rsidRPr="00CC6A13">
        <w:rPr>
          <w:rFonts w:asciiTheme="minorHAnsi" w:hAnsiTheme="minorHAnsi" w:cstheme="minorHAnsi"/>
        </w:rPr>
        <w:t xml:space="preserve">again </w:t>
      </w:r>
      <w:r w:rsidR="00467481" w:rsidRPr="00CC6A13">
        <w:rPr>
          <w:rFonts w:asciiTheme="minorHAnsi" w:hAnsiTheme="minorHAnsi" w:cstheme="minorHAnsi"/>
        </w:rPr>
        <w:t xml:space="preserve">welcomed the approach to the Senior Leadership Team’s </w:t>
      </w:r>
      <w:r w:rsidR="0039614C" w:rsidRPr="00CC6A13">
        <w:rPr>
          <w:rFonts w:asciiTheme="minorHAnsi" w:hAnsiTheme="minorHAnsi" w:cstheme="minorHAnsi"/>
        </w:rPr>
        <w:t xml:space="preserve">(including the Vice-Chancellor) </w:t>
      </w:r>
      <w:r w:rsidR="00467481" w:rsidRPr="00CC6A13">
        <w:rPr>
          <w:rFonts w:asciiTheme="minorHAnsi" w:hAnsiTheme="minorHAnsi" w:cstheme="minorHAnsi"/>
        </w:rPr>
        <w:t>individual and team objectives</w:t>
      </w:r>
      <w:r w:rsidR="00ED79B8" w:rsidRPr="00CC6A13">
        <w:rPr>
          <w:rFonts w:asciiTheme="minorHAnsi" w:hAnsiTheme="minorHAnsi" w:cstheme="minorHAnsi"/>
        </w:rPr>
        <w:t>,</w:t>
      </w:r>
      <w:r w:rsidR="00467481" w:rsidRPr="00CC6A13">
        <w:rPr>
          <w:rFonts w:asciiTheme="minorHAnsi" w:hAnsiTheme="minorHAnsi" w:cstheme="minorHAnsi"/>
        </w:rPr>
        <w:t xml:space="preserve"> </w:t>
      </w:r>
      <w:r w:rsidR="0039614C" w:rsidRPr="00CC6A13">
        <w:rPr>
          <w:rFonts w:asciiTheme="minorHAnsi" w:hAnsiTheme="minorHAnsi" w:cstheme="minorHAnsi"/>
        </w:rPr>
        <w:t>agreed by the Remuneration Committee</w:t>
      </w:r>
      <w:r w:rsidR="00ED79B8" w:rsidRPr="00CC6A13">
        <w:rPr>
          <w:rFonts w:asciiTheme="minorHAnsi" w:hAnsiTheme="minorHAnsi" w:cstheme="minorHAnsi"/>
        </w:rPr>
        <w:t>,</w:t>
      </w:r>
      <w:r w:rsidR="0039614C" w:rsidRPr="00CC6A13">
        <w:rPr>
          <w:rFonts w:asciiTheme="minorHAnsi" w:hAnsiTheme="minorHAnsi" w:cstheme="minorHAnsi"/>
        </w:rPr>
        <w:t xml:space="preserve"> which</w:t>
      </w:r>
      <w:r w:rsidR="00467481" w:rsidRPr="00CC6A13">
        <w:rPr>
          <w:rFonts w:asciiTheme="minorHAnsi" w:hAnsiTheme="minorHAnsi" w:cstheme="minorHAnsi"/>
        </w:rPr>
        <w:t xml:space="preserve"> set out institutional and personal objectives</w:t>
      </w:r>
      <w:r w:rsidR="0039614C" w:rsidRPr="00CC6A13">
        <w:rPr>
          <w:rFonts w:asciiTheme="minorHAnsi" w:hAnsiTheme="minorHAnsi" w:cstheme="minorHAnsi"/>
        </w:rPr>
        <w:t xml:space="preserve"> </w:t>
      </w:r>
      <w:r w:rsidR="00467481" w:rsidRPr="00CC6A13">
        <w:rPr>
          <w:rFonts w:asciiTheme="minorHAnsi" w:hAnsiTheme="minorHAnsi" w:cstheme="minorHAnsi"/>
        </w:rPr>
        <w:t>directly related to the University’s Annual Plan and Objectives.</w:t>
      </w:r>
      <w:r w:rsidR="00F905C7" w:rsidRPr="00CC6A13">
        <w:rPr>
          <w:rFonts w:asciiTheme="minorHAnsi" w:hAnsiTheme="minorHAnsi" w:cstheme="minorHAnsi"/>
        </w:rPr>
        <w:t xml:space="preserve"> </w:t>
      </w:r>
      <w:r w:rsidR="00467481" w:rsidRPr="00CC6A13">
        <w:rPr>
          <w:rFonts w:asciiTheme="minorHAnsi" w:hAnsiTheme="minorHAnsi" w:cstheme="minorHAnsi"/>
        </w:rPr>
        <w:t xml:space="preserve">Members also highlighted </w:t>
      </w:r>
      <w:r w:rsidR="0039614C" w:rsidRPr="00CC6A13">
        <w:rPr>
          <w:rFonts w:asciiTheme="minorHAnsi" w:hAnsiTheme="minorHAnsi" w:cstheme="minorHAnsi"/>
        </w:rPr>
        <w:t>the Vice-Chancellor</w:t>
      </w:r>
      <w:r w:rsidR="009B2804" w:rsidRPr="00CC6A13">
        <w:rPr>
          <w:rFonts w:asciiTheme="minorHAnsi" w:hAnsiTheme="minorHAnsi" w:cstheme="minorHAnsi"/>
        </w:rPr>
        <w:t xml:space="preserve">’s </w:t>
      </w:r>
      <w:r w:rsidR="009E61E6" w:rsidRPr="00CC6A13">
        <w:rPr>
          <w:rFonts w:asciiTheme="minorHAnsi" w:hAnsiTheme="minorHAnsi" w:cstheme="minorHAnsi"/>
        </w:rPr>
        <w:t xml:space="preserve">wider involvement in key sector-wide issues which </w:t>
      </w:r>
      <w:r w:rsidR="00467481" w:rsidRPr="00CC6A13">
        <w:rPr>
          <w:rFonts w:asciiTheme="minorHAnsi" w:hAnsiTheme="minorHAnsi" w:cstheme="minorHAnsi"/>
        </w:rPr>
        <w:t>continues</w:t>
      </w:r>
      <w:r w:rsidR="009E61E6" w:rsidRPr="00CC6A13">
        <w:rPr>
          <w:rFonts w:asciiTheme="minorHAnsi" w:hAnsiTheme="minorHAnsi" w:cstheme="minorHAnsi"/>
        </w:rPr>
        <w:t xml:space="preserve"> to raise the profile </w:t>
      </w:r>
      <w:r w:rsidR="00467481" w:rsidRPr="00CC6A13">
        <w:rPr>
          <w:rFonts w:asciiTheme="minorHAnsi" w:hAnsiTheme="minorHAnsi" w:cstheme="minorHAnsi"/>
        </w:rPr>
        <w:t>of</w:t>
      </w:r>
      <w:r w:rsidR="009E61E6" w:rsidRPr="00CC6A13">
        <w:rPr>
          <w:rFonts w:asciiTheme="minorHAnsi" w:hAnsiTheme="minorHAnsi" w:cstheme="minorHAnsi"/>
        </w:rPr>
        <w:t xml:space="preserve"> the </w:t>
      </w:r>
      <w:r w:rsidR="00591820" w:rsidRPr="00CC6A13">
        <w:rPr>
          <w:rFonts w:asciiTheme="minorHAnsi" w:hAnsiTheme="minorHAnsi" w:cstheme="minorHAnsi"/>
        </w:rPr>
        <w:t>University,</w:t>
      </w:r>
      <w:r w:rsidR="00467481" w:rsidRPr="00CC6A13">
        <w:rPr>
          <w:rFonts w:asciiTheme="minorHAnsi" w:hAnsiTheme="minorHAnsi" w:cstheme="minorHAnsi"/>
        </w:rPr>
        <w:t xml:space="preserve"> and </w:t>
      </w:r>
      <w:r w:rsidR="0039614C" w:rsidRPr="00CC6A13">
        <w:rPr>
          <w:rFonts w:asciiTheme="minorHAnsi" w:hAnsiTheme="minorHAnsi" w:cstheme="minorHAnsi"/>
        </w:rPr>
        <w:t>which have a significant impact on the University</w:t>
      </w:r>
      <w:r w:rsidR="00467481" w:rsidRPr="00CC6A13">
        <w:rPr>
          <w:rFonts w:asciiTheme="minorHAnsi" w:hAnsiTheme="minorHAnsi" w:cstheme="minorHAnsi"/>
        </w:rPr>
        <w:t>.</w:t>
      </w:r>
    </w:p>
    <w:p w14:paraId="3A2D37D6" w14:textId="77777777" w:rsidR="00B31AC0" w:rsidRPr="00CC6A13" w:rsidRDefault="00B31AC0" w:rsidP="000E1131">
      <w:pPr>
        <w:spacing w:after="0" w:line="240" w:lineRule="auto"/>
        <w:ind w:right="-330"/>
        <w:rPr>
          <w:rFonts w:asciiTheme="minorHAnsi" w:hAnsiTheme="minorHAnsi" w:cstheme="minorHAnsi"/>
        </w:rPr>
      </w:pPr>
    </w:p>
    <w:p w14:paraId="284E9CD7" w14:textId="75BEC067" w:rsidR="008033C1" w:rsidRPr="00CC6A13" w:rsidRDefault="00C12D06" w:rsidP="000E1131">
      <w:pPr>
        <w:spacing w:after="0" w:line="240" w:lineRule="auto"/>
        <w:ind w:right="-330"/>
        <w:jc w:val="both"/>
        <w:rPr>
          <w:rFonts w:asciiTheme="minorHAnsi" w:hAnsiTheme="minorHAnsi" w:cstheme="minorHAnsi"/>
        </w:rPr>
      </w:pPr>
      <w:r w:rsidRPr="00CC6A13">
        <w:rPr>
          <w:rFonts w:asciiTheme="minorHAnsi" w:hAnsiTheme="minorHAnsi" w:cstheme="minorHAnsi"/>
        </w:rPr>
        <w:t xml:space="preserve">While recognising </w:t>
      </w:r>
      <w:r w:rsidR="00467481" w:rsidRPr="00CC6A13">
        <w:rPr>
          <w:rFonts w:asciiTheme="minorHAnsi" w:hAnsiTheme="minorHAnsi" w:cstheme="minorHAnsi"/>
        </w:rPr>
        <w:t xml:space="preserve"> </w:t>
      </w:r>
      <w:r w:rsidRPr="00CC6A13">
        <w:rPr>
          <w:rFonts w:asciiTheme="minorHAnsi" w:hAnsiTheme="minorHAnsi" w:cstheme="minorHAnsi"/>
        </w:rPr>
        <w:t xml:space="preserve">the Vice-Chancellor’s </w:t>
      </w:r>
      <w:r w:rsidR="00467481" w:rsidRPr="00CC6A13">
        <w:rPr>
          <w:rFonts w:asciiTheme="minorHAnsi" w:hAnsiTheme="minorHAnsi" w:cstheme="minorHAnsi"/>
        </w:rPr>
        <w:t>performance</w:t>
      </w:r>
      <w:r w:rsidR="006E2DE6" w:rsidRPr="00CC6A13">
        <w:rPr>
          <w:rFonts w:asciiTheme="minorHAnsi" w:hAnsiTheme="minorHAnsi" w:cstheme="minorHAnsi"/>
        </w:rPr>
        <w:t xml:space="preserve"> during this period</w:t>
      </w:r>
      <w:r w:rsidR="0039614C" w:rsidRPr="00CC6A13">
        <w:rPr>
          <w:rFonts w:asciiTheme="minorHAnsi" w:hAnsiTheme="minorHAnsi" w:cstheme="minorHAnsi"/>
        </w:rPr>
        <w:t>,</w:t>
      </w:r>
      <w:r w:rsidR="00467481" w:rsidRPr="00CC6A13">
        <w:rPr>
          <w:rFonts w:asciiTheme="minorHAnsi" w:hAnsiTheme="minorHAnsi" w:cstheme="minorHAnsi"/>
        </w:rPr>
        <w:t xml:space="preserve"> the </w:t>
      </w:r>
      <w:r w:rsidR="0039614C" w:rsidRPr="00CC6A13">
        <w:rPr>
          <w:rFonts w:asciiTheme="minorHAnsi" w:hAnsiTheme="minorHAnsi" w:cstheme="minorHAnsi"/>
        </w:rPr>
        <w:t>Remuneration</w:t>
      </w:r>
      <w:r w:rsidR="00467481" w:rsidRPr="00CC6A13">
        <w:rPr>
          <w:rFonts w:asciiTheme="minorHAnsi" w:hAnsiTheme="minorHAnsi" w:cstheme="minorHAnsi"/>
        </w:rPr>
        <w:t xml:space="preserve"> Committee</w:t>
      </w:r>
      <w:r w:rsidR="00F83195" w:rsidRPr="00CC6A13">
        <w:rPr>
          <w:rFonts w:asciiTheme="minorHAnsi" w:hAnsiTheme="minorHAnsi" w:cstheme="minorHAnsi"/>
        </w:rPr>
        <w:t>,</w:t>
      </w:r>
      <w:r w:rsidR="00467481" w:rsidRPr="00CC6A13">
        <w:rPr>
          <w:rFonts w:asciiTheme="minorHAnsi" w:hAnsiTheme="minorHAnsi" w:cstheme="minorHAnsi"/>
        </w:rPr>
        <w:t xml:space="preserve"> </w:t>
      </w:r>
      <w:r w:rsidR="006E2DE6" w:rsidRPr="00CC6A13">
        <w:rPr>
          <w:rFonts w:asciiTheme="minorHAnsi" w:hAnsiTheme="minorHAnsi" w:cstheme="minorHAnsi"/>
        </w:rPr>
        <w:t>noting its previous decision that the Remuneration cycle for 2023 would not take place</w:t>
      </w:r>
      <w:r w:rsidR="00F83195" w:rsidRPr="00CC6A13">
        <w:rPr>
          <w:rFonts w:asciiTheme="minorHAnsi" w:hAnsiTheme="minorHAnsi" w:cstheme="minorHAnsi"/>
        </w:rPr>
        <w:t>,</w:t>
      </w:r>
      <w:r w:rsidR="006E2DE6" w:rsidRPr="00CC6A13">
        <w:rPr>
          <w:rFonts w:asciiTheme="minorHAnsi" w:hAnsiTheme="minorHAnsi" w:cstheme="minorHAnsi"/>
        </w:rPr>
        <w:t xml:space="preserve"> did not approve any performance related pay. The </w:t>
      </w:r>
      <w:r w:rsidR="00467481" w:rsidRPr="00CC6A13">
        <w:rPr>
          <w:rFonts w:asciiTheme="minorHAnsi" w:hAnsiTheme="minorHAnsi" w:cstheme="minorHAnsi"/>
        </w:rPr>
        <w:t xml:space="preserve">Vice-Chancellor’s </w:t>
      </w:r>
      <w:r w:rsidR="00377883" w:rsidRPr="00CC6A13">
        <w:rPr>
          <w:rFonts w:asciiTheme="minorHAnsi" w:hAnsiTheme="minorHAnsi" w:cstheme="minorHAnsi"/>
        </w:rPr>
        <w:t xml:space="preserve">Remuneration </w:t>
      </w:r>
      <w:r w:rsidR="00467481" w:rsidRPr="00CC6A13">
        <w:rPr>
          <w:rFonts w:asciiTheme="minorHAnsi" w:hAnsiTheme="minorHAnsi" w:cstheme="minorHAnsi"/>
        </w:rPr>
        <w:t>package</w:t>
      </w:r>
      <w:r w:rsidR="006E2DE6" w:rsidRPr="00CC6A13">
        <w:rPr>
          <w:rFonts w:asciiTheme="minorHAnsi" w:hAnsiTheme="minorHAnsi" w:cstheme="minorHAnsi"/>
        </w:rPr>
        <w:t xml:space="preserve"> is</w:t>
      </w:r>
      <w:r w:rsidR="00467481" w:rsidRPr="00CC6A13">
        <w:rPr>
          <w:rFonts w:asciiTheme="minorHAnsi" w:hAnsiTheme="minorHAnsi" w:cstheme="minorHAnsi"/>
        </w:rPr>
        <w:t xml:space="preserve"> </w:t>
      </w:r>
      <w:r w:rsidR="00377883" w:rsidRPr="00CC6A13">
        <w:rPr>
          <w:rFonts w:asciiTheme="minorHAnsi" w:hAnsiTheme="minorHAnsi" w:cstheme="minorHAnsi"/>
        </w:rPr>
        <w:t xml:space="preserve">set out </w:t>
      </w:r>
      <w:r w:rsidR="00467481" w:rsidRPr="00CC6A13">
        <w:rPr>
          <w:rFonts w:asciiTheme="minorHAnsi" w:hAnsiTheme="minorHAnsi" w:cstheme="minorHAnsi"/>
        </w:rPr>
        <w:t xml:space="preserve">below. </w:t>
      </w:r>
    </w:p>
    <w:p w14:paraId="126E9117" w14:textId="77777777" w:rsidR="006E2DE6" w:rsidRPr="00CC6A13" w:rsidRDefault="006E2DE6" w:rsidP="000E1131">
      <w:pPr>
        <w:spacing w:after="0" w:line="240" w:lineRule="auto"/>
        <w:ind w:right="-330"/>
        <w:jc w:val="both"/>
        <w:rPr>
          <w:rFonts w:asciiTheme="minorHAnsi" w:hAnsiTheme="minorHAnsi" w:cstheme="minorHAnsi"/>
        </w:rPr>
      </w:pPr>
    </w:p>
    <w:p w14:paraId="6AE3B6C0" w14:textId="680E892E" w:rsidR="008033C1" w:rsidRPr="00CC6A13" w:rsidRDefault="00BA3FE9" w:rsidP="000E1131">
      <w:pPr>
        <w:spacing w:after="0" w:line="240" w:lineRule="auto"/>
        <w:ind w:right="-330"/>
        <w:rPr>
          <w:rFonts w:asciiTheme="minorHAnsi" w:hAnsiTheme="minorHAnsi" w:cstheme="minorHAnsi"/>
        </w:rPr>
      </w:pPr>
      <w:r w:rsidRPr="00CC6A13">
        <w:rPr>
          <w:rFonts w:asciiTheme="minorHAnsi" w:hAnsiTheme="minorHAnsi" w:cstheme="minorHAnsi"/>
        </w:rPr>
        <w:t>Emoluments of the Vice-Chancellor for years ended 31st July 202</w:t>
      </w:r>
      <w:r w:rsidR="00EE65FE" w:rsidRPr="00CC6A13">
        <w:rPr>
          <w:rFonts w:asciiTheme="minorHAnsi" w:hAnsiTheme="minorHAnsi" w:cstheme="minorHAnsi"/>
        </w:rPr>
        <w:t>4</w:t>
      </w:r>
      <w:r w:rsidRPr="00CC6A13">
        <w:rPr>
          <w:rFonts w:asciiTheme="minorHAnsi" w:hAnsiTheme="minorHAnsi" w:cstheme="minorHAnsi"/>
        </w:rPr>
        <w:t xml:space="preserve"> and 31st July 202</w:t>
      </w:r>
      <w:r w:rsidR="00EE65FE" w:rsidRPr="00CC6A13">
        <w:rPr>
          <w:rFonts w:asciiTheme="minorHAnsi" w:hAnsiTheme="minorHAnsi" w:cstheme="minorHAnsi"/>
        </w:rPr>
        <w:t>3</w:t>
      </w:r>
      <w:r w:rsidRPr="00CC6A13">
        <w:rPr>
          <w:rFonts w:asciiTheme="minorHAnsi" w:hAnsiTheme="minorHAnsi" w:cstheme="minorHAnsi"/>
        </w:rPr>
        <w:t xml:space="preserve"> (also see Note</w:t>
      </w:r>
      <w:r w:rsidR="000E314F" w:rsidRPr="00CC6A13">
        <w:rPr>
          <w:rFonts w:asciiTheme="minorHAnsi" w:hAnsiTheme="minorHAnsi" w:cstheme="minorHAnsi"/>
        </w:rPr>
        <w:t xml:space="preserve"> </w:t>
      </w:r>
      <w:r w:rsidR="000E314F" w:rsidRPr="0095020E">
        <w:rPr>
          <w:rFonts w:asciiTheme="minorHAnsi" w:hAnsiTheme="minorHAnsi" w:cstheme="minorHAnsi"/>
        </w:rPr>
        <w:t>7</w:t>
      </w:r>
      <w:r w:rsidRPr="00CC6A13">
        <w:rPr>
          <w:rFonts w:asciiTheme="minorHAnsi" w:hAnsiTheme="minorHAnsi" w:cstheme="minorHAnsi"/>
        </w:rPr>
        <w:t xml:space="preserve"> of the financial statements section of the </w:t>
      </w:r>
      <w:r w:rsidR="00556F79" w:rsidRPr="00CC6A13">
        <w:rPr>
          <w:rFonts w:asciiTheme="minorHAnsi" w:hAnsiTheme="minorHAnsi" w:cstheme="minorHAnsi"/>
        </w:rPr>
        <w:t>Annual</w:t>
      </w:r>
      <w:r w:rsidRPr="00CC6A13">
        <w:rPr>
          <w:rFonts w:asciiTheme="minorHAnsi" w:hAnsiTheme="minorHAnsi" w:cstheme="minorHAnsi"/>
        </w:rPr>
        <w:t xml:space="preserve"> Review 202</w:t>
      </w:r>
      <w:r w:rsidR="00EE65FE" w:rsidRPr="00CC6A13">
        <w:rPr>
          <w:rFonts w:asciiTheme="minorHAnsi" w:hAnsiTheme="minorHAnsi" w:cstheme="minorHAnsi"/>
        </w:rPr>
        <w:t>4</w:t>
      </w:r>
      <w:r w:rsidRPr="00CC6A13">
        <w:rPr>
          <w:rFonts w:asciiTheme="minorHAnsi" w:hAnsiTheme="minorHAnsi" w:cstheme="minorHAnsi"/>
        </w:rPr>
        <w:t>).</w:t>
      </w:r>
    </w:p>
    <w:p w14:paraId="3DE1CEC2" w14:textId="77777777" w:rsidR="00B31AC0" w:rsidRPr="00CC6A13" w:rsidRDefault="00B31AC0" w:rsidP="000E1131">
      <w:pPr>
        <w:spacing w:after="0" w:line="240" w:lineRule="auto"/>
        <w:ind w:right="-33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4"/>
        <w:gridCol w:w="1881"/>
        <w:gridCol w:w="1791"/>
      </w:tblGrid>
      <w:tr w:rsidR="000E314F" w:rsidRPr="00CC6A13" w14:paraId="12CCF08F" w14:textId="77777777" w:rsidTr="00B31AC0">
        <w:tc>
          <w:tcPr>
            <w:tcW w:w="5344" w:type="dxa"/>
          </w:tcPr>
          <w:p w14:paraId="47EF4E75" w14:textId="77777777" w:rsidR="000E314F" w:rsidRPr="00CC6A13" w:rsidRDefault="000E314F" w:rsidP="000E1131">
            <w:pPr>
              <w:ind w:right="-330"/>
              <w:rPr>
                <w:rFonts w:asciiTheme="minorHAnsi" w:hAnsiTheme="minorHAnsi" w:cstheme="minorHAnsi"/>
              </w:rPr>
            </w:pPr>
          </w:p>
        </w:tc>
        <w:tc>
          <w:tcPr>
            <w:tcW w:w="1881" w:type="dxa"/>
          </w:tcPr>
          <w:p w14:paraId="42A1AB9B" w14:textId="58CC44FE" w:rsidR="000E314F" w:rsidRPr="00CC6A13" w:rsidRDefault="000E314F" w:rsidP="000E1131">
            <w:pPr>
              <w:ind w:right="-330"/>
              <w:rPr>
                <w:rFonts w:asciiTheme="minorHAnsi" w:hAnsiTheme="minorHAnsi" w:cstheme="minorHAnsi"/>
              </w:rPr>
            </w:pPr>
            <w:r w:rsidRPr="0095020E">
              <w:rPr>
                <w:rFonts w:asciiTheme="minorHAnsi" w:hAnsiTheme="minorHAnsi" w:cstheme="minorHAnsi"/>
                <w:b/>
                <w:bCs/>
              </w:rPr>
              <w:t>202</w:t>
            </w:r>
            <w:r w:rsidR="00EE65FE" w:rsidRPr="0095020E">
              <w:rPr>
                <w:rFonts w:asciiTheme="minorHAnsi" w:hAnsiTheme="minorHAnsi" w:cstheme="minorHAnsi"/>
                <w:b/>
                <w:bCs/>
              </w:rPr>
              <w:t>4</w:t>
            </w:r>
          </w:p>
        </w:tc>
        <w:tc>
          <w:tcPr>
            <w:tcW w:w="1791" w:type="dxa"/>
          </w:tcPr>
          <w:p w14:paraId="4F412FA0" w14:textId="7AF37FE7" w:rsidR="000E314F" w:rsidRPr="00CC6A13" w:rsidRDefault="000E314F" w:rsidP="000E1131">
            <w:pPr>
              <w:ind w:right="-330"/>
              <w:rPr>
                <w:rFonts w:asciiTheme="minorHAnsi" w:hAnsiTheme="minorHAnsi" w:cstheme="minorHAnsi"/>
              </w:rPr>
            </w:pPr>
            <w:r w:rsidRPr="00CC6A13">
              <w:rPr>
                <w:rFonts w:asciiTheme="minorHAnsi" w:hAnsiTheme="minorHAnsi" w:cstheme="minorHAnsi"/>
                <w:b/>
                <w:bCs/>
              </w:rPr>
              <w:t>202</w:t>
            </w:r>
            <w:r w:rsidR="00EE65FE" w:rsidRPr="00CC6A13">
              <w:rPr>
                <w:rFonts w:asciiTheme="minorHAnsi" w:hAnsiTheme="minorHAnsi" w:cstheme="minorHAnsi"/>
                <w:b/>
                <w:bCs/>
              </w:rPr>
              <w:t>3</w:t>
            </w:r>
          </w:p>
        </w:tc>
      </w:tr>
      <w:tr w:rsidR="000E314F" w:rsidRPr="00CC6A13" w14:paraId="3D55EE95" w14:textId="77777777" w:rsidTr="00B31AC0">
        <w:tc>
          <w:tcPr>
            <w:tcW w:w="5344" w:type="dxa"/>
          </w:tcPr>
          <w:p w14:paraId="5B3552D9" w14:textId="77777777" w:rsidR="000E314F" w:rsidRPr="00CC6A13" w:rsidRDefault="000E314F" w:rsidP="000E1131">
            <w:pPr>
              <w:ind w:right="-330"/>
              <w:rPr>
                <w:rFonts w:asciiTheme="minorHAnsi" w:hAnsiTheme="minorHAnsi" w:cstheme="minorHAnsi"/>
              </w:rPr>
            </w:pPr>
          </w:p>
        </w:tc>
        <w:tc>
          <w:tcPr>
            <w:tcW w:w="1881" w:type="dxa"/>
          </w:tcPr>
          <w:p w14:paraId="27B831D0" w14:textId="7BE2FE29" w:rsidR="000E314F" w:rsidRPr="0095020E" w:rsidRDefault="000E314F" w:rsidP="000E1131">
            <w:pPr>
              <w:ind w:right="-330"/>
              <w:rPr>
                <w:rFonts w:asciiTheme="minorHAnsi" w:hAnsiTheme="minorHAnsi" w:cstheme="minorHAnsi"/>
                <w:color w:val="000000" w:themeColor="text1"/>
              </w:rPr>
            </w:pPr>
            <w:r w:rsidRPr="0095020E">
              <w:rPr>
                <w:rFonts w:asciiTheme="minorHAnsi" w:hAnsiTheme="minorHAnsi" w:cstheme="minorHAnsi"/>
                <w:color w:val="000000" w:themeColor="text1"/>
              </w:rPr>
              <w:t>£000</w:t>
            </w:r>
          </w:p>
        </w:tc>
        <w:tc>
          <w:tcPr>
            <w:tcW w:w="1791" w:type="dxa"/>
          </w:tcPr>
          <w:p w14:paraId="605BD060" w14:textId="33EFF070" w:rsidR="000E314F" w:rsidRPr="00CC6A13" w:rsidRDefault="000E314F" w:rsidP="000E1131">
            <w:pPr>
              <w:ind w:right="-330"/>
              <w:rPr>
                <w:rFonts w:asciiTheme="minorHAnsi" w:hAnsiTheme="minorHAnsi" w:cstheme="minorHAnsi"/>
              </w:rPr>
            </w:pPr>
            <w:r w:rsidRPr="00CC6A13">
              <w:rPr>
                <w:rFonts w:asciiTheme="minorHAnsi" w:hAnsiTheme="minorHAnsi" w:cstheme="minorHAnsi"/>
              </w:rPr>
              <w:t>£000</w:t>
            </w:r>
          </w:p>
        </w:tc>
      </w:tr>
      <w:tr w:rsidR="000E314F" w:rsidRPr="00CC6A13" w14:paraId="071A53E4" w14:textId="77777777" w:rsidTr="00B31AC0">
        <w:tc>
          <w:tcPr>
            <w:tcW w:w="5344" w:type="dxa"/>
          </w:tcPr>
          <w:p w14:paraId="24AE9FB3" w14:textId="0B82C42F" w:rsidR="000E314F" w:rsidRPr="00CC6A13" w:rsidRDefault="000E314F" w:rsidP="000E1131">
            <w:pPr>
              <w:ind w:right="-330"/>
              <w:rPr>
                <w:rFonts w:asciiTheme="minorHAnsi" w:hAnsiTheme="minorHAnsi" w:cstheme="minorHAnsi"/>
              </w:rPr>
            </w:pPr>
            <w:r w:rsidRPr="00CC6A13">
              <w:rPr>
                <w:rFonts w:asciiTheme="minorHAnsi" w:hAnsiTheme="minorHAnsi" w:cstheme="minorHAnsi"/>
              </w:rPr>
              <w:t>Salary</w:t>
            </w:r>
          </w:p>
        </w:tc>
        <w:tc>
          <w:tcPr>
            <w:tcW w:w="1881" w:type="dxa"/>
          </w:tcPr>
          <w:p w14:paraId="5A315A23" w14:textId="4F441DBA" w:rsidR="000E314F" w:rsidRPr="0095020E" w:rsidRDefault="00542745" w:rsidP="000E1131">
            <w:pPr>
              <w:ind w:right="-330"/>
              <w:rPr>
                <w:rFonts w:asciiTheme="minorHAnsi" w:hAnsiTheme="minorHAnsi" w:cstheme="minorHAnsi"/>
                <w:color w:val="000000" w:themeColor="text1"/>
              </w:rPr>
            </w:pPr>
            <w:r w:rsidRPr="0095020E">
              <w:rPr>
                <w:rFonts w:asciiTheme="minorHAnsi" w:hAnsiTheme="minorHAnsi" w:cstheme="minorHAnsi"/>
                <w:color w:val="000000" w:themeColor="text1"/>
              </w:rPr>
              <w:t>367</w:t>
            </w:r>
          </w:p>
        </w:tc>
        <w:tc>
          <w:tcPr>
            <w:tcW w:w="1791" w:type="dxa"/>
          </w:tcPr>
          <w:p w14:paraId="325BCED3" w14:textId="4CD60FAB" w:rsidR="000E314F" w:rsidRPr="00CC6A13" w:rsidRDefault="000E314F" w:rsidP="000E1131">
            <w:pPr>
              <w:ind w:right="-330"/>
              <w:rPr>
                <w:rFonts w:asciiTheme="minorHAnsi" w:hAnsiTheme="minorHAnsi" w:cstheme="minorHAnsi"/>
              </w:rPr>
            </w:pPr>
            <w:r w:rsidRPr="00CC6A13">
              <w:rPr>
                <w:rFonts w:asciiTheme="minorHAnsi" w:hAnsiTheme="minorHAnsi" w:cstheme="minorHAnsi"/>
              </w:rPr>
              <w:t>3</w:t>
            </w:r>
            <w:r w:rsidR="00EE65FE" w:rsidRPr="00CC6A13">
              <w:rPr>
                <w:rFonts w:asciiTheme="minorHAnsi" w:hAnsiTheme="minorHAnsi" w:cstheme="minorHAnsi"/>
              </w:rPr>
              <w:t>39</w:t>
            </w:r>
          </w:p>
        </w:tc>
      </w:tr>
      <w:tr w:rsidR="000E314F" w:rsidRPr="00CC6A13" w14:paraId="548705F8" w14:textId="77777777" w:rsidTr="00B31AC0">
        <w:tc>
          <w:tcPr>
            <w:tcW w:w="5344" w:type="dxa"/>
          </w:tcPr>
          <w:p w14:paraId="063FB475" w14:textId="16F502D8" w:rsidR="000E314F" w:rsidRPr="00CC6A13" w:rsidRDefault="000E314F" w:rsidP="000E1131">
            <w:pPr>
              <w:ind w:right="-330"/>
              <w:rPr>
                <w:rFonts w:asciiTheme="minorHAnsi" w:hAnsiTheme="minorHAnsi" w:cstheme="minorHAnsi"/>
              </w:rPr>
            </w:pPr>
            <w:r w:rsidRPr="00CC6A13">
              <w:rPr>
                <w:rFonts w:asciiTheme="minorHAnsi" w:hAnsiTheme="minorHAnsi" w:cstheme="minorHAnsi"/>
              </w:rPr>
              <w:t>Employer pension contributions</w:t>
            </w:r>
          </w:p>
        </w:tc>
        <w:tc>
          <w:tcPr>
            <w:tcW w:w="1881" w:type="dxa"/>
            <w:tcBorders>
              <w:bottom w:val="single" w:sz="4" w:space="0" w:color="auto"/>
            </w:tcBorders>
          </w:tcPr>
          <w:p w14:paraId="54FA8E25" w14:textId="03353F32" w:rsidR="000E314F" w:rsidRPr="0095020E" w:rsidRDefault="00F905C7" w:rsidP="000E1131">
            <w:pPr>
              <w:ind w:right="-330"/>
              <w:rPr>
                <w:rFonts w:asciiTheme="minorHAnsi" w:hAnsiTheme="minorHAnsi" w:cstheme="minorHAnsi"/>
                <w:color w:val="000000" w:themeColor="text1"/>
              </w:rPr>
            </w:pPr>
            <w:r w:rsidRPr="0095020E">
              <w:rPr>
                <w:rFonts w:asciiTheme="minorHAnsi" w:hAnsiTheme="minorHAnsi" w:cstheme="minorHAnsi"/>
                <w:color w:val="000000" w:themeColor="text1"/>
              </w:rPr>
              <w:t xml:space="preserve"> </w:t>
            </w:r>
            <w:r w:rsidR="00542745" w:rsidRPr="0095020E">
              <w:rPr>
                <w:rFonts w:asciiTheme="minorHAnsi" w:hAnsiTheme="minorHAnsi" w:cstheme="minorHAnsi"/>
                <w:color w:val="000000" w:themeColor="text1"/>
              </w:rPr>
              <w:t>9</w:t>
            </w:r>
          </w:p>
        </w:tc>
        <w:tc>
          <w:tcPr>
            <w:tcW w:w="1791" w:type="dxa"/>
            <w:tcBorders>
              <w:bottom w:val="single" w:sz="4" w:space="0" w:color="auto"/>
            </w:tcBorders>
          </w:tcPr>
          <w:p w14:paraId="2B2C10A3" w14:textId="0A6A8DDE" w:rsidR="000E314F" w:rsidRPr="00CC6A13" w:rsidRDefault="00F905C7" w:rsidP="000E1131">
            <w:pPr>
              <w:ind w:right="-330"/>
              <w:rPr>
                <w:rFonts w:asciiTheme="minorHAnsi" w:hAnsiTheme="minorHAnsi" w:cstheme="minorHAnsi"/>
              </w:rPr>
            </w:pPr>
            <w:r w:rsidRPr="00CC6A13">
              <w:rPr>
                <w:rFonts w:asciiTheme="minorHAnsi" w:hAnsiTheme="minorHAnsi" w:cstheme="minorHAnsi"/>
              </w:rPr>
              <w:t xml:space="preserve"> </w:t>
            </w:r>
            <w:r w:rsidR="00EE65FE" w:rsidRPr="00CC6A13">
              <w:rPr>
                <w:rFonts w:asciiTheme="minorHAnsi" w:hAnsiTheme="minorHAnsi" w:cstheme="minorHAnsi"/>
              </w:rPr>
              <w:t xml:space="preserve"> 20</w:t>
            </w:r>
          </w:p>
        </w:tc>
      </w:tr>
      <w:tr w:rsidR="000E314F" w:rsidRPr="00CC6A13" w14:paraId="642C6116" w14:textId="77777777" w:rsidTr="00B31AC0">
        <w:tc>
          <w:tcPr>
            <w:tcW w:w="5344" w:type="dxa"/>
          </w:tcPr>
          <w:p w14:paraId="4E64F2FF" w14:textId="77777777" w:rsidR="000E314F" w:rsidRPr="00CC6A13" w:rsidRDefault="000E314F" w:rsidP="000E1131">
            <w:pPr>
              <w:ind w:right="-330"/>
              <w:rPr>
                <w:rFonts w:asciiTheme="minorHAnsi" w:hAnsiTheme="minorHAnsi" w:cstheme="minorHAnsi"/>
              </w:rPr>
            </w:pPr>
          </w:p>
        </w:tc>
        <w:tc>
          <w:tcPr>
            <w:tcW w:w="1881" w:type="dxa"/>
            <w:tcBorders>
              <w:top w:val="single" w:sz="4" w:space="0" w:color="auto"/>
              <w:bottom w:val="single" w:sz="4" w:space="0" w:color="auto"/>
            </w:tcBorders>
          </w:tcPr>
          <w:p w14:paraId="11CAFE4D" w14:textId="5B442A5E" w:rsidR="000E314F" w:rsidRPr="0095020E" w:rsidRDefault="00542745" w:rsidP="000E1131">
            <w:pPr>
              <w:ind w:right="-330"/>
              <w:rPr>
                <w:rFonts w:asciiTheme="minorHAnsi" w:hAnsiTheme="minorHAnsi" w:cstheme="minorHAnsi"/>
                <w:color w:val="000000" w:themeColor="text1"/>
              </w:rPr>
            </w:pPr>
            <w:r w:rsidRPr="0095020E">
              <w:rPr>
                <w:rFonts w:asciiTheme="minorHAnsi" w:hAnsiTheme="minorHAnsi" w:cstheme="minorHAnsi"/>
                <w:color w:val="000000" w:themeColor="text1"/>
              </w:rPr>
              <w:t>376</w:t>
            </w:r>
          </w:p>
        </w:tc>
        <w:tc>
          <w:tcPr>
            <w:tcW w:w="1791" w:type="dxa"/>
            <w:tcBorders>
              <w:top w:val="single" w:sz="4" w:space="0" w:color="auto"/>
              <w:bottom w:val="single" w:sz="4" w:space="0" w:color="auto"/>
            </w:tcBorders>
          </w:tcPr>
          <w:p w14:paraId="338A8566" w14:textId="0B40B6FF" w:rsidR="000E314F" w:rsidRPr="00CC6A13" w:rsidRDefault="000E314F" w:rsidP="000E1131">
            <w:pPr>
              <w:ind w:right="-330"/>
              <w:rPr>
                <w:rFonts w:asciiTheme="minorHAnsi" w:hAnsiTheme="minorHAnsi" w:cstheme="minorHAnsi"/>
              </w:rPr>
            </w:pPr>
            <w:r w:rsidRPr="00CC6A13">
              <w:rPr>
                <w:rFonts w:asciiTheme="minorHAnsi" w:hAnsiTheme="minorHAnsi" w:cstheme="minorHAnsi"/>
              </w:rPr>
              <w:t>3</w:t>
            </w:r>
            <w:r w:rsidR="00EE65FE" w:rsidRPr="00CC6A13">
              <w:rPr>
                <w:rFonts w:asciiTheme="minorHAnsi" w:hAnsiTheme="minorHAnsi" w:cstheme="minorHAnsi"/>
              </w:rPr>
              <w:t>5</w:t>
            </w:r>
            <w:r w:rsidRPr="00CC6A13">
              <w:rPr>
                <w:rFonts w:asciiTheme="minorHAnsi" w:hAnsiTheme="minorHAnsi" w:cstheme="minorHAnsi"/>
              </w:rPr>
              <w:t>9</w:t>
            </w:r>
          </w:p>
        </w:tc>
      </w:tr>
      <w:tr w:rsidR="000E314F" w:rsidRPr="00CC6A13" w14:paraId="18D1BCE6" w14:textId="77777777" w:rsidTr="00B31AC0">
        <w:tc>
          <w:tcPr>
            <w:tcW w:w="5344" w:type="dxa"/>
          </w:tcPr>
          <w:p w14:paraId="3AE15EDD" w14:textId="4A64C7BC" w:rsidR="000E314F" w:rsidRPr="00CC6A13" w:rsidRDefault="000E314F" w:rsidP="000E1131">
            <w:pPr>
              <w:ind w:right="-330"/>
              <w:rPr>
                <w:rFonts w:asciiTheme="minorHAnsi" w:hAnsiTheme="minorHAnsi" w:cstheme="minorHAnsi"/>
                <w:b/>
                <w:bCs/>
                <w:u w:val="single"/>
              </w:rPr>
            </w:pPr>
          </w:p>
        </w:tc>
        <w:tc>
          <w:tcPr>
            <w:tcW w:w="1881" w:type="dxa"/>
            <w:tcBorders>
              <w:top w:val="single" w:sz="4" w:space="0" w:color="auto"/>
            </w:tcBorders>
          </w:tcPr>
          <w:p w14:paraId="73011821" w14:textId="08AB4A39" w:rsidR="000E314F" w:rsidRPr="00CC6A13" w:rsidRDefault="000E314F" w:rsidP="000E1131">
            <w:pPr>
              <w:ind w:right="-330"/>
              <w:rPr>
                <w:rFonts w:asciiTheme="minorHAnsi" w:hAnsiTheme="minorHAnsi" w:cstheme="minorHAnsi"/>
              </w:rPr>
            </w:pPr>
          </w:p>
        </w:tc>
        <w:tc>
          <w:tcPr>
            <w:tcW w:w="1791" w:type="dxa"/>
            <w:tcBorders>
              <w:top w:val="single" w:sz="4" w:space="0" w:color="auto"/>
            </w:tcBorders>
          </w:tcPr>
          <w:p w14:paraId="0C078DA5" w14:textId="77777777" w:rsidR="000E314F" w:rsidRPr="00CC6A13" w:rsidRDefault="000E314F" w:rsidP="000E1131">
            <w:pPr>
              <w:ind w:right="-330"/>
              <w:rPr>
                <w:rFonts w:asciiTheme="minorHAnsi" w:hAnsiTheme="minorHAnsi" w:cstheme="minorHAnsi"/>
              </w:rPr>
            </w:pPr>
          </w:p>
        </w:tc>
      </w:tr>
    </w:tbl>
    <w:p w14:paraId="3E0439FD" w14:textId="24C30C9D" w:rsidR="008A0B62" w:rsidRPr="00CC6A13" w:rsidRDefault="00DF4BDB" w:rsidP="008A0B62">
      <w:pPr>
        <w:spacing w:after="0" w:line="240" w:lineRule="auto"/>
        <w:ind w:right="-330"/>
        <w:jc w:val="both"/>
        <w:rPr>
          <w:rFonts w:asciiTheme="minorHAnsi" w:hAnsiTheme="minorHAnsi" w:cstheme="minorHAnsi"/>
        </w:rPr>
      </w:pPr>
      <w:r w:rsidRPr="00CC6A13">
        <w:rPr>
          <w:rFonts w:asciiTheme="minorHAnsi" w:hAnsiTheme="minorHAnsi" w:cstheme="minorHAnsi"/>
        </w:rPr>
        <w:t>The Vice-Chancellor no longer receives any benefits in kind. In</w:t>
      </w:r>
      <w:r w:rsidR="009A6297" w:rsidRPr="00CC6A13">
        <w:rPr>
          <w:rFonts w:asciiTheme="minorHAnsi" w:hAnsiTheme="minorHAnsi" w:cstheme="minorHAnsi"/>
        </w:rPr>
        <w:t xml:space="preserve"> addition to his salary</w:t>
      </w:r>
      <w:r w:rsidR="00556F79" w:rsidRPr="00CC6A13">
        <w:rPr>
          <w:rFonts w:asciiTheme="minorHAnsi" w:hAnsiTheme="minorHAnsi" w:cstheme="minorHAnsi"/>
        </w:rPr>
        <w:t>,</w:t>
      </w:r>
      <w:r w:rsidR="00BA3FE9" w:rsidRPr="00CC6A13">
        <w:rPr>
          <w:rFonts w:asciiTheme="minorHAnsi" w:hAnsiTheme="minorHAnsi" w:cstheme="minorHAnsi"/>
        </w:rPr>
        <w:t xml:space="preserve"> the Vice-Chancellor</w:t>
      </w:r>
      <w:r w:rsidR="009A6297" w:rsidRPr="00CC6A13">
        <w:rPr>
          <w:rFonts w:asciiTheme="minorHAnsi" w:hAnsiTheme="minorHAnsi" w:cstheme="minorHAnsi"/>
        </w:rPr>
        <w:t xml:space="preserve"> receives an accommodation allowance of</w:t>
      </w:r>
      <w:r w:rsidR="00D85F89" w:rsidRPr="00CC6A13">
        <w:rPr>
          <w:rFonts w:asciiTheme="minorHAnsi" w:hAnsiTheme="minorHAnsi" w:cstheme="minorHAnsi"/>
        </w:rPr>
        <w:t xml:space="preserve"> </w:t>
      </w:r>
      <w:r w:rsidR="00D85F89" w:rsidRPr="0095020E">
        <w:rPr>
          <w:rFonts w:asciiTheme="minorHAnsi" w:hAnsiTheme="minorHAnsi" w:cstheme="minorHAnsi"/>
          <w:color w:val="000000" w:themeColor="text1"/>
        </w:rPr>
        <w:t>£</w:t>
      </w:r>
      <w:r w:rsidR="00542745" w:rsidRPr="0095020E">
        <w:rPr>
          <w:rFonts w:asciiTheme="minorHAnsi" w:hAnsiTheme="minorHAnsi" w:cstheme="minorHAnsi"/>
          <w:color w:val="000000" w:themeColor="text1"/>
        </w:rPr>
        <w:t>18</w:t>
      </w:r>
      <w:r w:rsidR="00D85F89" w:rsidRPr="0095020E">
        <w:rPr>
          <w:rFonts w:asciiTheme="minorHAnsi" w:hAnsiTheme="minorHAnsi" w:cstheme="minorHAnsi"/>
          <w:color w:val="000000" w:themeColor="text1"/>
        </w:rPr>
        <w:t xml:space="preserve">k </w:t>
      </w:r>
      <w:r w:rsidR="00BA3FE9" w:rsidRPr="00CC6A13">
        <w:rPr>
          <w:rFonts w:asciiTheme="minorHAnsi" w:hAnsiTheme="minorHAnsi" w:cstheme="minorHAnsi"/>
        </w:rPr>
        <w:t>(202</w:t>
      </w:r>
      <w:r w:rsidR="00EE65FE" w:rsidRPr="00CC6A13">
        <w:rPr>
          <w:rFonts w:asciiTheme="minorHAnsi" w:hAnsiTheme="minorHAnsi" w:cstheme="minorHAnsi"/>
        </w:rPr>
        <w:t>3</w:t>
      </w:r>
      <w:r w:rsidR="00BA3FE9" w:rsidRPr="00CC6A13">
        <w:rPr>
          <w:rFonts w:asciiTheme="minorHAnsi" w:hAnsiTheme="minorHAnsi" w:cstheme="minorHAnsi"/>
        </w:rPr>
        <w:t>: £1</w:t>
      </w:r>
      <w:r w:rsidR="00EE65FE" w:rsidRPr="00CC6A13">
        <w:rPr>
          <w:rFonts w:asciiTheme="minorHAnsi" w:hAnsiTheme="minorHAnsi" w:cstheme="minorHAnsi"/>
        </w:rPr>
        <w:t>6</w:t>
      </w:r>
      <w:r w:rsidR="00BA3FE9" w:rsidRPr="00CC6A13">
        <w:rPr>
          <w:rFonts w:asciiTheme="minorHAnsi" w:hAnsiTheme="minorHAnsi" w:cstheme="minorHAnsi"/>
        </w:rPr>
        <w:t>k). The Vice-Chancellor</w:t>
      </w:r>
      <w:r w:rsidR="009A6297" w:rsidRPr="00CC6A13">
        <w:rPr>
          <w:rFonts w:asciiTheme="minorHAnsi" w:hAnsiTheme="minorHAnsi" w:cstheme="minorHAnsi"/>
        </w:rPr>
        <w:t>’s salary</w:t>
      </w:r>
      <w:r w:rsidR="00BA3FE9" w:rsidRPr="00542745">
        <w:rPr>
          <w:rFonts w:asciiTheme="minorHAnsi" w:hAnsiTheme="minorHAnsi" w:cstheme="minorHAnsi"/>
        </w:rPr>
        <w:t xml:space="preserve"> </w:t>
      </w:r>
      <w:r w:rsidR="009A6297" w:rsidRPr="00542745">
        <w:rPr>
          <w:rFonts w:asciiTheme="minorHAnsi" w:hAnsiTheme="minorHAnsi" w:cstheme="minorHAnsi"/>
        </w:rPr>
        <w:t>wa</w:t>
      </w:r>
      <w:r w:rsidR="00BA3FE9" w:rsidRPr="00542745">
        <w:rPr>
          <w:rFonts w:asciiTheme="minorHAnsi" w:hAnsiTheme="minorHAnsi" w:cstheme="minorHAnsi"/>
        </w:rPr>
        <w:t xml:space="preserve">s </w:t>
      </w:r>
      <w:r w:rsidR="00D85F89" w:rsidRPr="0095020E">
        <w:rPr>
          <w:rFonts w:asciiTheme="minorHAnsi" w:hAnsiTheme="minorHAnsi" w:cstheme="minorHAnsi"/>
          <w:color w:val="000000" w:themeColor="text1"/>
        </w:rPr>
        <w:t>£</w:t>
      </w:r>
      <w:r w:rsidR="00542745" w:rsidRPr="0095020E">
        <w:rPr>
          <w:rFonts w:asciiTheme="minorHAnsi" w:hAnsiTheme="minorHAnsi" w:cstheme="minorHAnsi"/>
          <w:color w:val="000000" w:themeColor="text1"/>
        </w:rPr>
        <w:t>349</w:t>
      </w:r>
      <w:r w:rsidR="00D85F89" w:rsidRPr="0095020E">
        <w:rPr>
          <w:rFonts w:asciiTheme="minorHAnsi" w:hAnsiTheme="minorHAnsi" w:cstheme="minorHAnsi"/>
          <w:color w:val="000000" w:themeColor="text1"/>
        </w:rPr>
        <w:t xml:space="preserve">k </w:t>
      </w:r>
      <w:r w:rsidR="00BA3FE9" w:rsidRPr="00CC6A13">
        <w:rPr>
          <w:rFonts w:asciiTheme="minorHAnsi" w:hAnsiTheme="minorHAnsi" w:cstheme="minorHAnsi"/>
        </w:rPr>
        <w:t>for the year to 31 July 202</w:t>
      </w:r>
      <w:r w:rsidR="00EE65FE" w:rsidRPr="00CC6A13">
        <w:rPr>
          <w:rFonts w:asciiTheme="minorHAnsi" w:hAnsiTheme="minorHAnsi" w:cstheme="minorHAnsi"/>
        </w:rPr>
        <w:t>4</w:t>
      </w:r>
      <w:r w:rsidR="00BA3FE9" w:rsidRPr="00CC6A13">
        <w:rPr>
          <w:rFonts w:asciiTheme="minorHAnsi" w:hAnsiTheme="minorHAnsi" w:cstheme="minorHAnsi"/>
        </w:rPr>
        <w:t xml:space="preserve"> (202</w:t>
      </w:r>
      <w:r w:rsidR="00EE65FE" w:rsidRPr="00CC6A13">
        <w:rPr>
          <w:rFonts w:asciiTheme="minorHAnsi" w:hAnsiTheme="minorHAnsi" w:cstheme="minorHAnsi"/>
        </w:rPr>
        <w:t>3</w:t>
      </w:r>
      <w:r w:rsidR="00BA3FE9" w:rsidRPr="00CC6A13">
        <w:rPr>
          <w:rFonts w:asciiTheme="minorHAnsi" w:hAnsiTheme="minorHAnsi" w:cstheme="minorHAnsi"/>
        </w:rPr>
        <w:t>: £</w:t>
      </w:r>
      <w:r w:rsidR="00EE65FE" w:rsidRPr="00CC6A13">
        <w:rPr>
          <w:rFonts w:asciiTheme="minorHAnsi" w:hAnsiTheme="minorHAnsi" w:cstheme="minorHAnsi"/>
        </w:rPr>
        <w:t>323</w:t>
      </w:r>
      <w:r w:rsidR="00BA3FE9" w:rsidRPr="00CC6A13">
        <w:rPr>
          <w:rFonts w:asciiTheme="minorHAnsi" w:hAnsiTheme="minorHAnsi" w:cstheme="minorHAnsi"/>
        </w:rPr>
        <w:t>k).</w:t>
      </w:r>
      <w:r w:rsidR="00F905C7" w:rsidRPr="00CC6A13">
        <w:rPr>
          <w:rFonts w:asciiTheme="minorHAnsi" w:hAnsiTheme="minorHAnsi" w:cstheme="minorHAnsi"/>
        </w:rPr>
        <w:t xml:space="preserve"> </w:t>
      </w:r>
      <w:r w:rsidR="008A0B62" w:rsidRPr="00CC6A13">
        <w:rPr>
          <w:rFonts w:asciiTheme="minorHAnsi" w:hAnsiTheme="minorHAnsi" w:cstheme="minorHAnsi"/>
        </w:rPr>
        <w:t xml:space="preserve">The Vice-Chancellor is enrolled in the enhanced opt out arrangement within the Universities’ Superannuation Scheme (the USS). </w:t>
      </w:r>
    </w:p>
    <w:p w14:paraId="112999F5" w14:textId="77777777" w:rsidR="00DF4BDB" w:rsidRPr="00CC6A13" w:rsidRDefault="00DF4BDB" w:rsidP="000E1131">
      <w:pPr>
        <w:spacing w:after="0" w:line="240" w:lineRule="auto"/>
        <w:ind w:right="-330"/>
        <w:rPr>
          <w:rFonts w:asciiTheme="minorHAnsi" w:hAnsiTheme="minorHAnsi" w:cstheme="minorHAnsi"/>
        </w:rPr>
      </w:pPr>
    </w:p>
    <w:p w14:paraId="159E9E31" w14:textId="563249F8" w:rsidR="00DF4BDB" w:rsidRPr="00CC6A13" w:rsidRDefault="00DF4BDB" w:rsidP="000E1131">
      <w:pPr>
        <w:spacing w:after="0" w:line="240" w:lineRule="auto"/>
        <w:ind w:right="-330"/>
        <w:jc w:val="both"/>
        <w:rPr>
          <w:rFonts w:asciiTheme="minorHAnsi" w:hAnsiTheme="minorHAnsi" w:cstheme="minorHAnsi"/>
        </w:rPr>
      </w:pPr>
      <w:r w:rsidRPr="00CC6A13">
        <w:rPr>
          <w:rFonts w:asciiTheme="minorHAnsi" w:hAnsiTheme="minorHAnsi" w:cstheme="minorHAnsi"/>
        </w:rPr>
        <w:t xml:space="preserve">The Vice-Chancellor, with the support of Council, took up the role of Chair of </w:t>
      </w:r>
      <w:r w:rsidR="00C14BD9" w:rsidRPr="00CC6A13">
        <w:rPr>
          <w:rFonts w:asciiTheme="minorHAnsi" w:hAnsiTheme="minorHAnsi" w:cstheme="minorHAnsi"/>
        </w:rPr>
        <w:t xml:space="preserve">Jisc </w:t>
      </w:r>
      <w:r w:rsidRPr="00CC6A13">
        <w:rPr>
          <w:rFonts w:asciiTheme="minorHAnsi" w:hAnsiTheme="minorHAnsi" w:cstheme="minorHAnsi"/>
        </w:rPr>
        <w:t>(</w:t>
      </w:r>
      <w:r w:rsidR="00206764" w:rsidRPr="00CC6A13">
        <w:rPr>
          <w:rFonts w:asciiTheme="minorHAnsi" w:hAnsiTheme="minorHAnsi" w:cstheme="minorHAnsi"/>
        </w:rPr>
        <w:t>formerly</w:t>
      </w:r>
      <w:r w:rsidRPr="00CC6A13">
        <w:rPr>
          <w:rFonts w:asciiTheme="minorHAnsi" w:hAnsiTheme="minorHAnsi" w:cstheme="minorHAnsi"/>
        </w:rPr>
        <w:t xml:space="preserve"> known as the Joint Information Systems Committee</w:t>
      </w:r>
      <w:r w:rsidR="00C14BD9" w:rsidRPr="00CC6A13">
        <w:rPr>
          <w:rFonts w:asciiTheme="minorHAnsi" w:hAnsiTheme="minorHAnsi" w:cstheme="minorHAnsi"/>
        </w:rPr>
        <w:t xml:space="preserve"> (JISC)</w:t>
      </w:r>
      <w:r w:rsidRPr="00CC6A13">
        <w:rPr>
          <w:rFonts w:asciiTheme="minorHAnsi" w:hAnsiTheme="minorHAnsi" w:cstheme="minorHAnsi"/>
        </w:rPr>
        <w:t xml:space="preserve">) on 21st May 2021 and receives an annual remuneration of </w:t>
      </w:r>
      <w:r w:rsidRPr="0095020E">
        <w:rPr>
          <w:rFonts w:asciiTheme="minorHAnsi" w:hAnsiTheme="minorHAnsi" w:cstheme="minorHAnsi"/>
        </w:rPr>
        <w:t>£</w:t>
      </w:r>
      <w:r w:rsidR="0095020E" w:rsidRPr="0095020E">
        <w:rPr>
          <w:rFonts w:asciiTheme="minorHAnsi" w:hAnsiTheme="minorHAnsi" w:cstheme="minorHAnsi"/>
        </w:rPr>
        <w:t>15</w:t>
      </w:r>
      <w:r w:rsidRPr="0095020E">
        <w:rPr>
          <w:rFonts w:asciiTheme="minorHAnsi" w:hAnsiTheme="minorHAnsi" w:cstheme="minorHAnsi"/>
        </w:rPr>
        <w:t>k</w:t>
      </w:r>
      <w:r w:rsidRPr="00CC6A13">
        <w:rPr>
          <w:rFonts w:asciiTheme="minorHAnsi" w:hAnsiTheme="minorHAnsi" w:cstheme="minorHAnsi"/>
        </w:rPr>
        <w:t xml:space="preserve"> </w:t>
      </w:r>
      <w:r w:rsidR="00EF1F6B" w:rsidRPr="00CC6A13">
        <w:rPr>
          <w:rFonts w:asciiTheme="minorHAnsi" w:hAnsiTheme="minorHAnsi" w:cstheme="minorHAnsi"/>
        </w:rPr>
        <w:t xml:space="preserve">(2023: £15k) </w:t>
      </w:r>
      <w:r w:rsidRPr="00CC6A13">
        <w:rPr>
          <w:rFonts w:asciiTheme="minorHAnsi" w:hAnsiTheme="minorHAnsi" w:cstheme="minorHAnsi"/>
        </w:rPr>
        <w:t xml:space="preserve">in this capacity. </w:t>
      </w:r>
    </w:p>
    <w:p w14:paraId="6B9BBB9F" w14:textId="77777777" w:rsidR="00B23AB1" w:rsidRPr="00CC6A13" w:rsidRDefault="00B23AB1" w:rsidP="000E1131">
      <w:pPr>
        <w:spacing w:after="0" w:line="240" w:lineRule="auto"/>
        <w:ind w:right="-330"/>
        <w:jc w:val="both"/>
        <w:rPr>
          <w:rFonts w:asciiTheme="minorHAnsi" w:hAnsiTheme="minorHAnsi" w:cstheme="minorHAnsi"/>
        </w:rPr>
      </w:pPr>
    </w:p>
    <w:p w14:paraId="65C2354D" w14:textId="6E189B7E" w:rsidR="00DF4BDB" w:rsidRPr="00E40FB6" w:rsidRDefault="00DF4BDB" w:rsidP="000E1131">
      <w:pPr>
        <w:spacing w:after="0" w:line="240" w:lineRule="auto"/>
        <w:ind w:right="-330"/>
        <w:jc w:val="both"/>
        <w:rPr>
          <w:rFonts w:asciiTheme="minorHAnsi" w:hAnsiTheme="minorHAnsi" w:cstheme="minorHAnsi"/>
        </w:rPr>
      </w:pPr>
      <w:r w:rsidRPr="00CC6A13">
        <w:rPr>
          <w:rFonts w:asciiTheme="minorHAnsi" w:hAnsiTheme="minorHAnsi" w:cstheme="minorHAnsi"/>
        </w:rPr>
        <w:t>Since 2020</w:t>
      </w:r>
      <w:r w:rsidR="00556F79" w:rsidRPr="00CC6A13">
        <w:rPr>
          <w:rFonts w:asciiTheme="minorHAnsi" w:hAnsiTheme="minorHAnsi" w:cstheme="minorHAnsi"/>
        </w:rPr>
        <w:t>, t</w:t>
      </w:r>
      <w:r w:rsidRPr="00CC6A13">
        <w:rPr>
          <w:rFonts w:asciiTheme="minorHAnsi" w:hAnsiTheme="minorHAnsi" w:cstheme="minorHAnsi"/>
        </w:rPr>
        <w:t>he Vice-Chancellor’s remuneration has been restructured as illustrated below.</w:t>
      </w:r>
      <w:r w:rsidR="00F905C7" w:rsidRPr="00CC6A13">
        <w:rPr>
          <w:rFonts w:asciiTheme="minorHAnsi" w:hAnsiTheme="minorHAnsi" w:cstheme="minorHAnsi"/>
        </w:rPr>
        <w:t xml:space="preserve"> </w:t>
      </w:r>
      <w:r w:rsidRPr="00CC6A13">
        <w:rPr>
          <w:rFonts w:asciiTheme="minorHAnsi" w:hAnsiTheme="minorHAnsi" w:cstheme="minorHAnsi"/>
        </w:rPr>
        <w:t xml:space="preserve">The effect of this is that his total remuneration has increased by </w:t>
      </w:r>
      <w:r w:rsidR="00542745" w:rsidRPr="0095020E">
        <w:rPr>
          <w:rFonts w:asciiTheme="minorHAnsi" w:hAnsiTheme="minorHAnsi" w:cstheme="minorHAnsi"/>
          <w:color w:val="000000" w:themeColor="text1"/>
        </w:rPr>
        <w:t>7.12</w:t>
      </w:r>
      <w:r w:rsidR="00A2125A" w:rsidRPr="0095020E">
        <w:rPr>
          <w:rFonts w:asciiTheme="minorHAnsi" w:hAnsiTheme="minorHAnsi" w:cstheme="minorHAnsi"/>
          <w:color w:val="000000" w:themeColor="text1"/>
        </w:rPr>
        <w:t xml:space="preserve">% </w:t>
      </w:r>
      <w:r w:rsidR="00A2125A" w:rsidRPr="0095020E">
        <w:rPr>
          <w:rFonts w:asciiTheme="minorHAnsi" w:hAnsiTheme="minorHAnsi" w:cstheme="minorHAnsi"/>
        </w:rPr>
        <w:t>over five years</w:t>
      </w:r>
      <w:r w:rsidRPr="00CC6A13">
        <w:rPr>
          <w:rFonts w:asciiTheme="minorHAnsi" w:hAnsiTheme="minorHAnsi" w:cstheme="minorHAnsi"/>
        </w:rPr>
        <w:t>.</w:t>
      </w:r>
      <w:r w:rsidR="00F905C7" w:rsidRPr="00E40FB6">
        <w:rPr>
          <w:rFonts w:asciiTheme="minorHAnsi" w:hAnsiTheme="minorHAnsi" w:cstheme="minorHAnsi"/>
        </w:rPr>
        <w:t xml:space="preserve"> </w:t>
      </w:r>
      <w:r w:rsidRPr="00E40FB6">
        <w:rPr>
          <w:rFonts w:asciiTheme="minorHAnsi" w:hAnsiTheme="minorHAnsi" w:cstheme="minorHAnsi"/>
        </w:rPr>
        <w:t xml:space="preserve">The increase in pension contributions </w:t>
      </w:r>
      <w:r w:rsidR="00E40FB6">
        <w:rPr>
          <w:rFonts w:asciiTheme="minorHAnsi" w:hAnsiTheme="minorHAnsi" w:cstheme="minorHAnsi"/>
        </w:rPr>
        <w:t xml:space="preserve">on 2022 and 2023 </w:t>
      </w:r>
      <w:r w:rsidRPr="00E40FB6">
        <w:rPr>
          <w:rFonts w:asciiTheme="minorHAnsi" w:hAnsiTheme="minorHAnsi" w:cstheme="minorHAnsi"/>
        </w:rPr>
        <w:t>reflects an increase in employer contributions to the enhanced opt-out section of the USS pension scheme.</w:t>
      </w:r>
      <w:r w:rsidR="00F905C7" w:rsidRPr="00E40FB6">
        <w:rPr>
          <w:rFonts w:asciiTheme="minorHAnsi" w:hAnsiTheme="minorHAnsi" w:cstheme="minorHAnsi"/>
        </w:rPr>
        <w:t xml:space="preserve"> </w:t>
      </w:r>
      <w:r w:rsidRPr="00E40FB6">
        <w:rPr>
          <w:rFonts w:asciiTheme="minorHAnsi" w:hAnsiTheme="minorHAnsi" w:cstheme="minorHAnsi"/>
        </w:rPr>
        <w:t>This does not enhance benefits but does have the effect of driving an increase in the pay ratio for total remuneration (see below)</w:t>
      </w:r>
      <w:r w:rsidR="00650AC2" w:rsidRPr="00E40FB6">
        <w:rPr>
          <w:rFonts w:asciiTheme="minorHAnsi" w:hAnsiTheme="minorHAnsi" w:cstheme="minorHAnsi"/>
        </w:rPr>
        <w:t>:</w:t>
      </w:r>
    </w:p>
    <w:p w14:paraId="29771CC8" w14:textId="77777777" w:rsidR="00DF4BDB" w:rsidRPr="00CC6A13" w:rsidRDefault="00DF4BDB" w:rsidP="000E1131">
      <w:pPr>
        <w:shd w:val="clear" w:color="auto" w:fill="FFFFFF"/>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3109"/>
        <w:gridCol w:w="1134"/>
        <w:gridCol w:w="1134"/>
        <w:gridCol w:w="1134"/>
        <w:gridCol w:w="1134"/>
        <w:gridCol w:w="1134"/>
      </w:tblGrid>
      <w:tr w:rsidR="00A2125A" w:rsidRPr="00CC6A13" w14:paraId="65BBE083" w14:textId="4A443294" w:rsidTr="00A2125A">
        <w:tc>
          <w:tcPr>
            <w:tcW w:w="31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97F833" w14:textId="77777777" w:rsidR="00A2125A" w:rsidRPr="00CC6A13" w:rsidRDefault="00A2125A" w:rsidP="000E1131">
            <w:pPr>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 </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619AAAC" w14:textId="156BD18F" w:rsidR="00A2125A" w:rsidRPr="00CC6A13" w:rsidRDefault="00A2125A" w:rsidP="000E1131">
            <w:pPr>
              <w:suppressAutoHyphens w:val="0"/>
              <w:autoSpaceDN/>
              <w:spacing w:after="0" w:line="240" w:lineRule="auto"/>
              <w:ind w:right="-330"/>
              <w:rPr>
                <w:rFonts w:asciiTheme="minorHAnsi" w:eastAsia="Times New Roman" w:hAnsiTheme="minorHAnsi" w:cstheme="minorHAnsi"/>
                <w:b/>
                <w:bCs/>
                <w:color w:val="242424"/>
                <w:kern w:val="0"/>
                <w:lang w:eastAsia="en-GB"/>
              </w:rPr>
            </w:pPr>
            <w:r w:rsidRPr="00CC6A13">
              <w:rPr>
                <w:rFonts w:asciiTheme="minorHAnsi" w:eastAsia="Times New Roman" w:hAnsiTheme="minorHAnsi" w:cstheme="minorHAnsi"/>
                <w:b/>
                <w:bCs/>
                <w:color w:val="242424"/>
                <w:kern w:val="0"/>
                <w:bdr w:val="none" w:sz="0" w:space="0" w:color="auto" w:frame="1"/>
                <w:lang w:eastAsia="en-GB"/>
              </w:rPr>
              <w:t xml:space="preserve">   2020</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1B562C7" w14:textId="41FDE24C" w:rsidR="00A2125A" w:rsidRPr="00CC6A13" w:rsidRDefault="00A2125A" w:rsidP="000E1131">
            <w:pPr>
              <w:suppressAutoHyphens w:val="0"/>
              <w:autoSpaceDN/>
              <w:spacing w:after="0" w:line="240" w:lineRule="auto"/>
              <w:ind w:right="-330"/>
              <w:rPr>
                <w:rFonts w:asciiTheme="minorHAnsi" w:eastAsia="Times New Roman" w:hAnsiTheme="minorHAnsi" w:cstheme="minorHAnsi"/>
                <w:b/>
                <w:bCs/>
                <w:color w:val="242424"/>
                <w:kern w:val="0"/>
                <w:lang w:eastAsia="en-GB"/>
              </w:rPr>
            </w:pPr>
            <w:r w:rsidRPr="00CC6A13">
              <w:rPr>
                <w:rFonts w:asciiTheme="minorHAnsi" w:eastAsia="Times New Roman" w:hAnsiTheme="minorHAnsi" w:cstheme="minorHAnsi"/>
                <w:b/>
                <w:bCs/>
                <w:color w:val="242424"/>
                <w:kern w:val="0"/>
                <w:bdr w:val="none" w:sz="0" w:space="0" w:color="auto" w:frame="1"/>
                <w:lang w:eastAsia="en-GB"/>
              </w:rPr>
              <w:t xml:space="preserve">   2021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9B1B0C" w14:textId="2069B6CA" w:rsidR="00A2125A" w:rsidRPr="00CC6A13" w:rsidRDefault="00A2125A" w:rsidP="000E1131">
            <w:pPr>
              <w:suppressAutoHyphens w:val="0"/>
              <w:autoSpaceDN/>
              <w:spacing w:after="0" w:line="240" w:lineRule="auto"/>
              <w:ind w:right="-330"/>
              <w:rPr>
                <w:rFonts w:asciiTheme="minorHAnsi" w:eastAsia="Times New Roman" w:hAnsiTheme="minorHAnsi" w:cstheme="minorHAnsi"/>
                <w:b/>
                <w:bCs/>
                <w:color w:val="242424"/>
                <w:kern w:val="0"/>
                <w:lang w:eastAsia="en-GB"/>
              </w:rPr>
            </w:pPr>
            <w:r w:rsidRPr="00CC6A13">
              <w:rPr>
                <w:rFonts w:asciiTheme="minorHAnsi" w:eastAsia="Times New Roman" w:hAnsiTheme="minorHAnsi" w:cstheme="minorHAnsi"/>
                <w:b/>
                <w:bCs/>
                <w:color w:val="242424"/>
                <w:kern w:val="0"/>
                <w:bdr w:val="none" w:sz="0" w:space="0" w:color="auto" w:frame="1"/>
                <w:lang w:eastAsia="en-GB"/>
              </w:rPr>
              <w:t xml:space="preserve">    2022</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698263" w14:textId="172DA8F4" w:rsidR="00A2125A" w:rsidRPr="00CC6A13" w:rsidRDefault="00A2125A" w:rsidP="000E1131">
            <w:pPr>
              <w:suppressAutoHyphens w:val="0"/>
              <w:autoSpaceDN/>
              <w:spacing w:after="0" w:line="240" w:lineRule="auto"/>
              <w:ind w:right="-330"/>
              <w:rPr>
                <w:rFonts w:asciiTheme="minorHAnsi" w:eastAsia="Times New Roman" w:hAnsiTheme="minorHAnsi" w:cstheme="minorHAnsi"/>
                <w:b/>
                <w:bCs/>
                <w:color w:val="242424"/>
                <w:kern w:val="0"/>
                <w:lang w:eastAsia="en-GB"/>
              </w:rPr>
            </w:pPr>
            <w:r w:rsidRPr="00CC6A13">
              <w:rPr>
                <w:rFonts w:asciiTheme="minorHAnsi" w:eastAsia="Times New Roman" w:hAnsiTheme="minorHAnsi" w:cstheme="minorHAnsi"/>
                <w:b/>
                <w:bCs/>
                <w:color w:val="242424"/>
                <w:kern w:val="0"/>
                <w:bdr w:val="none" w:sz="0" w:space="0" w:color="auto" w:frame="1"/>
                <w:lang w:eastAsia="en-GB"/>
              </w:rPr>
              <w:t xml:space="preserve">   2023</w:t>
            </w:r>
          </w:p>
        </w:tc>
        <w:tc>
          <w:tcPr>
            <w:tcW w:w="1134" w:type="dxa"/>
            <w:tcBorders>
              <w:top w:val="single" w:sz="8" w:space="0" w:color="auto"/>
              <w:left w:val="nil"/>
              <w:bottom w:val="single" w:sz="8" w:space="0" w:color="auto"/>
              <w:right w:val="single" w:sz="8" w:space="0" w:color="auto"/>
            </w:tcBorders>
            <w:shd w:val="clear" w:color="auto" w:fill="FFFFFF"/>
          </w:tcPr>
          <w:p w14:paraId="3555271E" w14:textId="7A108155" w:rsidR="00A2125A" w:rsidRPr="0095020E" w:rsidRDefault="00A2125A" w:rsidP="00A2125A">
            <w:pPr>
              <w:suppressAutoHyphens w:val="0"/>
              <w:autoSpaceDN/>
              <w:spacing w:after="0" w:line="240" w:lineRule="auto"/>
              <w:ind w:right="-330"/>
              <w:rPr>
                <w:rFonts w:asciiTheme="minorHAnsi" w:eastAsia="Times New Roman" w:hAnsiTheme="minorHAnsi" w:cstheme="minorHAnsi"/>
                <w:b/>
                <w:bCs/>
                <w:color w:val="000000" w:themeColor="text1"/>
                <w:kern w:val="0"/>
                <w:bdr w:val="none" w:sz="0" w:space="0" w:color="auto" w:frame="1"/>
                <w:lang w:eastAsia="en-GB"/>
              </w:rPr>
            </w:pPr>
            <w:r w:rsidRPr="0095020E">
              <w:rPr>
                <w:rFonts w:asciiTheme="minorHAnsi" w:eastAsia="Times New Roman" w:hAnsiTheme="minorHAnsi" w:cstheme="minorHAnsi"/>
                <w:b/>
                <w:bCs/>
                <w:color w:val="000000" w:themeColor="text1"/>
                <w:kern w:val="0"/>
                <w:bdr w:val="none" w:sz="0" w:space="0" w:color="auto" w:frame="1"/>
                <w:lang w:eastAsia="en-GB"/>
              </w:rPr>
              <w:t xml:space="preserve">    2024</w:t>
            </w:r>
          </w:p>
        </w:tc>
      </w:tr>
      <w:tr w:rsidR="00A2125A" w:rsidRPr="00CC6A13" w14:paraId="42D65269" w14:textId="1ECA6B17" w:rsidTr="00A2125A">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A0E58B" w14:textId="77777777" w:rsidR="00A2125A" w:rsidRPr="00CC6A13" w:rsidRDefault="00A2125A" w:rsidP="000E1131">
            <w:pPr>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Salary</w:t>
            </w:r>
          </w:p>
          <w:p w14:paraId="7E92EB2C" w14:textId="77777777" w:rsidR="00A2125A" w:rsidRPr="00CC6A13" w:rsidRDefault="00A2125A" w:rsidP="000E1131">
            <w:pPr>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54E38E"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293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AAA012"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303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CB9215"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297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AFE44E"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323</w:t>
            </w:r>
          </w:p>
        </w:tc>
        <w:tc>
          <w:tcPr>
            <w:tcW w:w="1134" w:type="dxa"/>
            <w:tcBorders>
              <w:top w:val="nil"/>
              <w:left w:val="nil"/>
              <w:bottom w:val="single" w:sz="8" w:space="0" w:color="auto"/>
              <w:right w:val="single" w:sz="8" w:space="0" w:color="auto"/>
            </w:tcBorders>
            <w:shd w:val="clear" w:color="auto" w:fill="FFFFFF"/>
          </w:tcPr>
          <w:p w14:paraId="567B05E1" w14:textId="624C98D1" w:rsidR="00A2125A" w:rsidRPr="0095020E" w:rsidRDefault="00542745" w:rsidP="0095020E">
            <w:pPr>
              <w:suppressAutoHyphens w:val="0"/>
              <w:autoSpaceDN/>
              <w:spacing w:after="0" w:line="240" w:lineRule="auto"/>
              <w:ind w:left="175" w:right="-330"/>
              <w:rPr>
                <w:rFonts w:asciiTheme="minorHAnsi" w:eastAsia="Times New Roman" w:hAnsiTheme="minorHAnsi" w:cstheme="minorHAnsi"/>
                <w:color w:val="000000" w:themeColor="text1"/>
                <w:kern w:val="0"/>
                <w:bdr w:val="none" w:sz="0" w:space="0" w:color="auto" w:frame="1"/>
                <w:lang w:eastAsia="en-GB"/>
              </w:rPr>
            </w:pPr>
            <w:r w:rsidRPr="0095020E">
              <w:rPr>
                <w:rFonts w:asciiTheme="minorHAnsi" w:eastAsia="Times New Roman" w:hAnsiTheme="minorHAnsi" w:cstheme="minorHAnsi"/>
                <w:color w:val="000000" w:themeColor="text1"/>
                <w:kern w:val="0"/>
                <w:bdr w:val="none" w:sz="0" w:space="0" w:color="auto" w:frame="1"/>
                <w:lang w:eastAsia="en-GB"/>
              </w:rPr>
              <w:t>349</w:t>
            </w:r>
          </w:p>
        </w:tc>
      </w:tr>
      <w:tr w:rsidR="00A2125A" w:rsidRPr="00CC6A13" w14:paraId="2CEDF277" w14:textId="489D6F3D" w:rsidTr="00A2125A">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246A53" w14:textId="77777777" w:rsidR="00A2125A" w:rsidRPr="00CC6A13" w:rsidRDefault="00A2125A" w:rsidP="000E1131">
            <w:pPr>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BIK</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0FC660"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52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3A0AA5"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25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B73780" w14:textId="2F8F6F15" w:rsidR="00A2125A" w:rsidRPr="00CC6A13" w:rsidRDefault="00E811EF"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D9285B" w14:textId="2CA53459" w:rsidR="00A2125A" w:rsidRPr="00CC6A13" w:rsidRDefault="00E811EF"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w:t>
            </w:r>
          </w:p>
        </w:tc>
        <w:tc>
          <w:tcPr>
            <w:tcW w:w="1134" w:type="dxa"/>
            <w:tcBorders>
              <w:top w:val="nil"/>
              <w:left w:val="nil"/>
              <w:bottom w:val="single" w:sz="8" w:space="0" w:color="auto"/>
              <w:right w:val="single" w:sz="8" w:space="0" w:color="auto"/>
            </w:tcBorders>
            <w:shd w:val="clear" w:color="auto" w:fill="FFFFFF"/>
          </w:tcPr>
          <w:p w14:paraId="5AC16395" w14:textId="58D60B41" w:rsidR="00A2125A" w:rsidRPr="0095020E" w:rsidRDefault="00542745" w:rsidP="0095020E">
            <w:pPr>
              <w:suppressAutoHyphens w:val="0"/>
              <w:autoSpaceDN/>
              <w:spacing w:after="0" w:line="240" w:lineRule="auto"/>
              <w:ind w:left="175" w:right="-330"/>
              <w:rPr>
                <w:rFonts w:asciiTheme="minorHAnsi" w:eastAsia="Times New Roman" w:hAnsiTheme="minorHAnsi" w:cstheme="minorHAnsi"/>
                <w:color w:val="000000" w:themeColor="text1"/>
                <w:kern w:val="0"/>
                <w:bdr w:val="none" w:sz="0" w:space="0" w:color="auto" w:frame="1"/>
                <w:lang w:eastAsia="en-GB"/>
              </w:rPr>
            </w:pPr>
            <w:r w:rsidRPr="0095020E">
              <w:rPr>
                <w:rFonts w:asciiTheme="minorHAnsi" w:eastAsia="Times New Roman" w:hAnsiTheme="minorHAnsi" w:cstheme="minorHAnsi"/>
                <w:color w:val="000000" w:themeColor="text1"/>
                <w:kern w:val="0"/>
                <w:bdr w:val="none" w:sz="0" w:space="0" w:color="auto" w:frame="1"/>
                <w:lang w:eastAsia="en-GB"/>
              </w:rPr>
              <w:t>-</w:t>
            </w:r>
          </w:p>
        </w:tc>
      </w:tr>
      <w:tr w:rsidR="00A2125A" w:rsidRPr="00CC6A13" w14:paraId="0099BCB7" w14:textId="48161E99" w:rsidTr="00A2125A">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7B9D0B" w14:textId="77777777" w:rsidR="00A2125A" w:rsidRPr="00CC6A13" w:rsidRDefault="00A2125A" w:rsidP="000E1131">
            <w:pPr>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Accommodation allowance</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44725C" w14:textId="267A9D0C"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E3F236" w14:textId="48E7A66E"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CFE3B3"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15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5F1AF3"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16</w:t>
            </w:r>
          </w:p>
        </w:tc>
        <w:tc>
          <w:tcPr>
            <w:tcW w:w="1134" w:type="dxa"/>
            <w:tcBorders>
              <w:top w:val="nil"/>
              <w:left w:val="nil"/>
              <w:bottom w:val="single" w:sz="8" w:space="0" w:color="auto"/>
              <w:right w:val="single" w:sz="8" w:space="0" w:color="auto"/>
            </w:tcBorders>
            <w:shd w:val="clear" w:color="auto" w:fill="FFFFFF"/>
          </w:tcPr>
          <w:p w14:paraId="13A0BAC3" w14:textId="79E8B854" w:rsidR="00A2125A" w:rsidRPr="0095020E" w:rsidRDefault="00542745" w:rsidP="0095020E">
            <w:pPr>
              <w:suppressAutoHyphens w:val="0"/>
              <w:autoSpaceDN/>
              <w:spacing w:after="0" w:line="240" w:lineRule="auto"/>
              <w:ind w:left="175" w:right="-330"/>
              <w:rPr>
                <w:rFonts w:asciiTheme="minorHAnsi" w:eastAsia="Times New Roman" w:hAnsiTheme="minorHAnsi" w:cstheme="minorHAnsi"/>
                <w:color w:val="000000" w:themeColor="text1"/>
                <w:kern w:val="0"/>
                <w:bdr w:val="none" w:sz="0" w:space="0" w:color="auto" w:frame="1"/>
                <w:lang w:eastAsia="en-GB"/>
              </w:rPr>
            </w:pPr>
            <w:r w:rsidRPr="0095020E">
              <w:rPr>
                <w:rFonts w:asciiTheme="minorHAnsi" w:eastAsia="Times New Roman" w:hAnsiTheme="minorHAnsi" w:cstheme="minorHAnsi"/>
                <w:color w:val="000000" w:themeColor="text1"/>
                <w:kern w:val="0"/>
                <w:bdr w:val="none" w:sz="0" w:space="0" w:color="auto" w:frame="1"/>
                <w:lang w:eastAsia="en-GB"/>
              </w:rPr>
              <w:t>18</w:t>
            </w:r>
          </w:p>
        </w:tc>
      </w:tr>
      <w:tr w:rsidR="00A2125A" w:rsidRPr="00CC6A13" w14:paraId="2DC855DB" w14:textId="182982E4" w:rsidTr="00A2125A">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E96331" w14:textId="77777777" w:rsidR="00A2125A" w:rsidRPr="00CC6A13" w:rsidRDefault="00A2125A" w:rsidP="000E1131">
            <w:pPr>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b/>
                <w:bCs/>
                <w:color w:val="242424"/>
                <w:kern w:val="0"/>
                <w:bdr w:val="none" w:sz="0" w:space="0" w:color="auto" w:frame="1"/>
                <w:lang w:eastAsia="en-GB"/>
              </w:rPr>
              <w:t>Subtotal</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8F16CF"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b/>
                <w:bCs/>
                <w:color w:val="242424"/>
                <w:kern w:val="0"/>
                <w:bdr w:val="none" w:sz="0" w:space="0" w:color="auto" w:frame="1"/>
                <w:lang w:eastAsia="en-GB"/>
              </w:rPr>
              <w:t>345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6AD789"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b/>
                <w:bCs/>
                <w:color w:val="242424"/>
                <w:kern w:val="0"/>
                <w:bdr w:val="none" w:sz="0" w:space="0" w:color="auto" w:frame="1"/>
                <w:lang w:eastAsia="en-GB"/>
              </w:rPr>
              <w:t>328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DB53CF"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b/>
                <w:bCs/>
                <w:color w:val="242424"/>
                <w:kern w:val="0"/>
                <w:bdr w:val="none" w:sz="0" w:space="0" w:color="auto" w:frame="1"/>
                <w:lang w:eastAsia="en-GB"/>
              </w:rPr>
              <w:t>312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2B14C3"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b/>
                <w:bCs/>
                <w:color w:val="242424"/>
                <w:kern w:val="0"/>
                <w:bdr w:val="none" w:sz="0" w:space="0" w:color="auto" w:frame="1"/>
                <w:lang w:eastAsia="en-GB"/>
              </w:rPr>
              <w:t>339</w:t>
            </w:r>
          </w:p>
        </w:tc>
        <w:tc>
          <w:tcPr>
            <w:tcW w:w="1134" w:type="dxa"/>
            <w:tcBorders>
              <w:top w:val="nil"/>
              <w:left w:val="nil"/>
              <w:bottom w:val="single" w:sz="8" w:space="0" w:color="auto"/>
              <w:right w:val="single" w:sz="8" w:space="0" w:color="auto"/>
            </w:tcBorders>
            <w:shd w:val="clear" w:color="auto" w:fill="FFFFFF"/>
          </w:tcPr>
          <w:p w14:paraId="0B8F1336" w14:textId="6FF45DB5" w:rsidR="00A2125A" w:rsidRPr="0095020E" w:rsidRDefault="00542745" w:rsidP="0095020E">
            <w:pPr>
              <w:suppressAutoHyphens w:val="0"/>
              <w:autoSpaceDN/>
              <w:spacing w:after="0" w:line="240" w:lineRule="auto"/>
              <w:ind w:left="175" w:right="-330"/>
              <w:rPr>
                <w:rFonts w:asciiTheme="minorHAnsi" w:eastAsia="Times New Roman" w:hAnsiTheme="minorHAnsi" w:cstheme="minorHAnsi"/>
                <w:b/>
                <w:bCs/>
                <w:color w:val="000000" w:themeColor="text1"/>
                <w:kern w:val="0"/>
                <w:bdr w:val="none" w:sz="0" w:space="0" w:color="auto" w:frame="1"/>
                <w:lang w:eastAsia="en-GB"/>
              </w:rPr>
            </w:pPr>
            <w:r w:rsidRPr="0095020E">
              <w:rPr>
                <w:rFonts w:asciiTheme="minorHAnsi" w:eastAsia="Times New Roman" w:hAnsiTheme="minorHAnsi" w:cstheme="minorHAnsi"/>
                <w:b/>
                <w:bCs/>
                <w:color w:val="000000" w:themeColor="text1"/>
                <w:kern w:val="0"/>
                <w:bdr w:val="none" w:sz="0" w:space="0" w:color="auto" w:frame="1"/>
                <w:lang w:eastAsia="en-GB"/>
              </w:rPr>
              <w:t>367</w:t>
            </w:r>
          </w:p>
        </w:tc>
      </w:tr>
      <w:tr w:rsidR="00A2125A" w:rsidRPr="00CC6A13" w14:paraId="57EB3DF1" w14:textId="0AE0C2CE" w:rsidTr="00A2125A">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92844D" w14:textId="2CBA5D2B" w:rsidR="00A2125A" w:rsidRPr="00CC6A13" w:rsidRDefault="00A2125A" w:rsidP="000E1131">
            <w:pPr>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Pension Contributions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EA84B3"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16AEB"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9F936F"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17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E7EFE7"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eastAsia="en-GB"/>
              </w:rPr>
              <w:t>20</w:t>
            </w:r>
          </w:p>
        </w:tc>
        <w:tc>
          <w:tcPr>
            <w:tcW w:w="1134" w:type="dxa"/>
            <w:tcBorders>
              <w:top w:val="nil"/>
              <w:left w:val="nil"/>
              <w:bottom w:val="single" w:sz="8" w:space="0" w:color="auto"/>
              <w:right w:val="single" w:sz="8" w:space="0" w:color="auto"/>
            </w:tcBorders>
            <w:shd w:val="clear" w:color="auto" w:fill="FFFFFF"/>
          </w:tcPr>
          <w:p w14:paraId="6B9E178C" w14:textId="1AD7033B" w:rsidR="00A2125A" w:rsidRPr="0095020E" w:rsidRDefault="00542745" w:rsidP="0095020E">
            <w:pPr>
              <w:suppressAutoHyphens w:val="0"/>
              <w:autoSpaceDN/>
              <w:spacing w:after="0" w:line="240" w:lineRule="auto"/>
              <w:ind w:left="175" w:right="-330"/>
              <w:rPr>
                <w:rFonts w:asciiTheme="minorHAnsi" w:eastAsia="Times New Roman" w:hAnsiTheme="minorHAnsi" w:cstheme="minorHAnsi"/>
                <w:color w:val="000000" w:themeColor="text1"/>
                <w:kern w:val="0"/>
                <w:bdr w:val="none" w:sz="0" w:space="0" w:color="auto" w:frame="1"/>
                <w:lang w:eastAsia="en-GB"/>
              </w:rPr>
            </w:pPr>
            <w:r w:rsidRPr="0095020E">
              <w:rPr>
                <w:rFonts w:asciiTheme="minorHAnsi" w:eastAsia="Times New Roman" w:hAnsiTheme="minorHAnsi" w:cstheme="minorHAnsi"/>
                <w:color w:val="000000" w:themeColor="text1"/>
                <w:kern w:val="0"/>
                <w:bdr w:val="none" w:sz="0" w:space="0" w:color="auto" w:frame="1"/>
                <w:lang w:eastAsia="en-GB"/>
              </w:rPr>
              <w:t>9</w:t>
            </w:r>
          </w:p>
        </w:tc>
      </w:tr>
      <w:tr w:rsidR="00A2125A" w:rsidRPr="00CC6A13" w14:paraId="1B57A514" w14:textId="2AFA5756" w:rsidTr="00A2125A">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B43C43" w14:textId="77777777" w:rsidR="00A2125A" w:rsidRPr="00CC6A13" w:rsidRDefault="00A2125A" w:rsidP="000E1131">
            <w:pPr>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b/>
                <w:bCs/>
                <w:color w:val="242424"/>
                <w:kern w:val="0"/>
                <w:bdr w:val="none" w:sz="0" w:space="0" w:color="auto" w:frame="1"/>
                <w:lang w:eastAsia="en-GB"/>
              </w:rPr>
              <w:t>Total</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78BDE3"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b/>
                <w:bCs/>
                <w:color w:val="242424"/>
                <w:kern w:val="0"/>
                <w:bdr w:val="none" w:sz="0" w:space="0" w:color="auto" w:frame="1"/>
                <w:lang w:eastAsia="en-GB"/>
              </w:rPr>
              <w:t>351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19AEDD"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b/>
                <w:bCs/>
                <w:color w:val="242424"/>
                <w:kern w:val="0"/>
                <w:bdr w:val="none" w:sz="0" w:space="0" w:color="auto" w:frame="1"/>
                <w:lang w:eastAsia="en-GB"/>
              </w:rPr>
              <w:t>334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5648CD"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b/>
                <w:bCs/>
                <w:color w:val="242424"/>
                <w:kern w:val="0"/>
                <w:bdr w:val="none" w:sz="0" w:space="0" w:color="auto" w:frame="1"/>
                <w:lang w:eastAsia="en-GB"/>
              </w:rPr>
              <w:t>329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33A542" w14:textId="77777777"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b/>
                <w:bCs/>
                <w:color w:val="242424"/>
                <w:kern w:val="0"/>
                <w:bdr w:val="none" w:sz="0" w:space="0" w:color="auto" w:frame="1"/>
                <w:lang w:eastAsia="en-GB"/>
              </w:rPr>
              <w:t>359</w:t>
            </w:r>
          </w:p>
        </w:tc>
        <w:tc>
          <w:tcPr>
            <w:tcW w:w="1134" w:type="dxa"/>
            <w:tcBorders>
              <w:top w:val="nil"/>
              <w:left w:val="nil"/>
              <w:bottom w:val="single" w:sz="8" w:space="0" w:color="auto"/>
              <w:right w:val="single" w:sz="8" w:space="0" w:color="auto"/>
            </w:tcBorders>
            <w:shd w:val="clear" w:color="auto" w:fill="FFFFFF"/>
          </w:tcPr>
          <w:p w14:paraId="60F55349" w14:textId="0CBBD7E0" w:rsidR="00A2125A" w:rsidRPr="0095020E" w:rsidRDefault="00542745" w:rsidP="0095020E">
            <w:pPr>
              <w:suppressAutoHyphens w:val="0"/>
              <w:autoSpaceDN/>
              <w:spacing w:after="0" w:line="240" w:lineRule="auto"/>
              <w:ind w:left="175" w:right="-330"/>
              <w:rPr>
                <w:rFonts w:asciiTheme="minorHAnsi" w:eastAsia="Times New Roman" w:hAnsiTheme="minorHAnsi" w:cstheme="minorHAnsi"/>
                <w:b/>
                <w:bCs/>
                <w:color w:val="000000" w:themeColor="text1"/>
                <w:kern w:val="0"/>
                <w:bdr w:val="none" w:sz="0" w:space="0" w:color="auto" w:frame="1"/>
                <w:lang w:eastAsia="en-GB"/>
              </w:rPr>
            </w:pPr>
            <w:r w:rsidRPr="0095020E">
              <w:rPr>
                <w:rFonts w:asciiTheme="minorHAnsi" w:eastAsia="Times New Roman" w:hAnsiTheme="minorHAnsi" w:cstheme="minorHAnsi"/>
                <w:b/>
                <w:bCs/>
                <w:color w:val="000000" w:themeColor="text1"/>
                <w:kern w:val="0"/>
                <w:bdr w:val="none" w:sz="0" w:space="0" w:color="auto" w:frame="1"/>
                <w:lang w:eastAsia="en-GB"/>
              </w:rPr>
              <w:t>376</w:t>
            </w:r>
          </w:p>
        </w:tc>
      </w:tr>
    </w:tbl>
    <w:p w14:paraId="07A39DB0" w14:textId="77777777" w:rsidR="00650AC2" w:rsidRPr="00CC6A13" w:rsidRDefault="00650AC2" w:rsidP="000E1131">
      <w:pPr>
        <w:spacing w:after="0" w:line="240" w:lineRule="auto"/>
        <w:ind w:right="-330"/>
        <w:jc w:val="both"/>
        <w:rPr>
          <w:rFonts w:asciiTheme="minorHAnsi" w:hAnsiTheme="minorHAnsi" w:cstheme="minorHAnsi"/>
        </w:rPr>
      </w:pPr>
    </w:p>
    <w:p w14:paraId="2F3AAB23" w14:textId="3525D686" w:rsidR="00DF4BDB" w:rsidRPr="00CC6A13" w:rsidRDefault="00DF4BDB" w:rsidP="000E1131">
      <w:pPr>
        <w:spacing w:after="0" w:line="240" w:lineRule="auto"/>
        <w:ind w:right="-330"/>
        <w:jc w:val="both"/>
        <w:rPr>
          <w:rFonts w:asciiTheme="minorHAnsi" w:hAnsiTheme="minorHAnsi" w:cstheme="minorHAnsi"/>
        </w:rPr>
      </w:pPr>
      <w:r w:rsidRPr="00CC6A13">
        <w:rPr>
          <w:rFonts w:asciiTheme="minorHAnsi" w:hAnsiTheme="minorHAnsi" w:cstheme="minorHAnsi"/>
        </w:rPr>
        <w:t>NB:- 2023 was the first year in which the Vice-Chancellor received a performance-based pay increase since joining the University in 2019</w:t>
      </w:r>
      <w:r w:rsidR="00A2125A" w:rsidRPr="00CC6A13">
        <w:rPr>
          <w:rFonts w:asciiTheme="minorHAnsi" w:hAnsiTheme="minorHAnsi" w:cstheme="minorHAnsi"/>
        </w:rPr>
        <w:t>.</w:t>
      </w:r>
    </w:p>
    <w:p w14:paraId="75FF63FB" w14:textId="77777777" w:rsidR="002869B2" w:rsidRPr="00CC6A13" w:rsidRDefault="002869B2" w:rsidP="000E1131">
      <w:pPr>
        <w:spacing w:after="0" w:line="240" w:lineRule="auto"/>
        <w:ind w:right="-330"/>
        <w:jc w:val="both"/>
        <w:rPr>
          <w:rFonts w:asciiTheme="minorHAnsi" w:hAnsiTheme="minorHAnsi" w:cstheme="minorHAnsi"/>
        </w:rPr>
      </w:pPr>
    </w:p>
    <w:p w14:paraId="5397565D" w14:textId="63ECD5E2" w:rsidR="009A6FAC" w:rsidRPr="00CC6A13" w:rsidRDefault="002869B2" w:rsidP="000E1131">
      <w:pPr>
        <w:spacing w:after="0" w:line="240" w:lineRule="auto"/>
        <w:ind w:right="-330"/>
        <w:jc w:val="both"/>
        <w:rPr>
          <w:rFonts w:asciiTheme="minorHAnsi" w:hAnsiTheme="minorHAnsi" w:cstheme="minorHAnsi"/>
        </w:rPr>
      </w:pPr>
      <w:r w:rsidRPr="00CC6A13">
        <w:rPr>
          <w:rFonts w:asciiTheme="minorHAnsi" w:hAnsiTheme="minorHAnsi" w:cstheme="minorHAnsi"/>
        </w:rPr>
        <w:t>Council on the recommendation of the Remuneration Committee approved the extension of the Vice</w:t>
      </w:r>
      <w:r w:rsidR="00CC6A13" w:rsidRPr="00CC6A13">
        <w:rPr>
          <w:rFonts w:asciiTheme="minorHAnsi" w:hAnsiTheme="minorHAnsi" w:cstheme="minorHAnsi"/>
        </w:rPr>
        <w:noBreakHyphen/>
      </w:r>
      <w:r w:rsidRPr="00CC6A13">
        <w:rPr>
          <w:rFonts w:asciiTheme="minorHAnsi" w:hAnsiTheme="minorHAnsi" w:cstheme="minorHAnsi"/>
        </w:rPr>
        <w:t xml:space="preserve">Chancellor’s employment contract for a period of 5 years with effect from 1 August 2024, with no change to the terms of his basic salary or accommodation allowance.  </w:t>
      </w:r>
    </w:p>
    <w:p w14:paraId="029F4500" w14:textId="77777777" w:rsidR="002869B2" w:rsidRPr="00CC6A13" w:rsidRDefault="002869B2" w:rsidP="000E1131">
      <w:pPr>
        <w:spacing w:after="0" w:line="240" w:lineRule="auto"/>
        <w:ind w:right="-330"/>
        <w:jc w:val="both"/>
        <w:rPr>
          <w:rFonts w:asciiTheme="minorHAnsi" w:hAnsiTheme="minorHAnsi" w:cstheme="minorHAnsi"/>
        </w:rPr>
      </w:pPr>
    </w:p>
    <w:p w14:paraId="6D98D92B" w14:textId="093EBE82" w:rsidR="007C7CAB" w:rsidRPr="00CC6A13" w:rsidRDefault="007C7CAB" w:rsidP="000E1131">
      <w:pPr>
        <w:spacing w:after="0" w:line="240" w:lineRule="auto"/>
        <w:ind w:right="-330"/>
        <w:rPr>
          <w:rFonts w:asciiTheme="minorHAnsi" w:hAnsiTheme="minorHAnsi" w:cstheme="minorHAnsi"/>
        </w:rPr>
      </w:pPr>
      <w:r w:rsidRPr="00CC6A13">
        <w:rPr>
          <w:rFonts w:asciiTheme="minorHAnsi" w:hAnsiTheme="minorHAnsi" w:cstheme="minorHAnsi"/>
          <w:b/>
          <w:bCs/>
        </w:rPr>
        <w:t>Pay Ratios</w:t>
      </w:r>
    </w:p>
    <w:p w14:paraId="7AF1A3ED" w14:textId="52D7EFB9" w:rsidR="007C7CAB" w:rsidRPr="00CC6A13" w:rsidRDefault="007C7CAB" w:rsidP="005C3F0D">
      <w:pPr>
        <w:spacing w:after="0" w:line="240" w:lineRule="auto"/>
        <w:ind w:right="-330"/>
        <w:jc w:val="both"/>
        <w:rPr>
          <w:rFonts w:asciiTheme="minorHAnsi" w:hAnsiTheme="minorHAnsi" w:cstheme="minorHAnsi"/>
        </w:rPr>
      </w:pPr>
      <w:r w:rsidRPr="00CC6A13">
        <w:rPr>
          <w:rFonts w:asciiTheme="minorHAnsi" w:hAnsiTheme="minorHAnsi" w:cstheme="minorHAnsi"/>
        </w:rPr>
        <w:t>The Vice-Chancellor’s basic salary is</w:t>
      </w:r>
      <w:r w:rsidR="00D85F89" w:rsidRPr="00CC6A13">
        <w:rPr>
          <w:rFonts w:asciiTheme="minorHAnsi" w:hAnsiTheme="minorHAnsi" w:cstheme="minorHAnsi"/>
        </w:rPr>
        <w:t xml:space="preserve"> </w:t>
      </w:r>
      <w:r w:rsidR="00542745" w:rsidRPr="0095020E">
        <w:rPr>
          <w:rFonts w:asciiTheme="minorHAnsi" w:hAnsiTheme="minorHAnsi" w:cstheme="minorHAnsi"/>
          <w:color w:val="000000" w:themeColor="text1"/>
        </w:rPr>
        <w:t>9.4</w:t>
      </w:r>
      <w:r w:rsidR="00541A65" w:rsidRPr="0095020E">
        <w:rPr>
          <w:rFonts w:asciiTheme="minorHAnsi" w:hAnsiTheme="minorHAnsi" w:cstheme="minorHAnsi"/>
          <w:color w:val="000000" w:themeColor="text1"/>
        </w:rPr>
        <w:t xml:space="preserve"> </w:t>
      </w:r>
      <w:r w:rsidRPr="00CC6A13">
        <w:rPr>
          <w:rFonts w:asciiTheme="minorHAnsi" w:hAnsiTheme="minorHAnsi" w:cstheme="minorHAnsi"/>
        </w:rPr>
        <w:t>times the median pay of staff (202</w:t>
      </w:r>
      <w:r w:rsidR="00A2125A" w:rsidRPr="00CC6A13">
        <w:rPr>
          <w:rFonts w:asciiTheme="minorHAnsi" w:hAnsiTheme="minorHAnsi" w:cstheme="minorHAnsi"/>
        </w:rPr>
        <w:t>3</w:t>
      </w:r>
      <w:r w:rsidRPr="00CC6A13">
        <w:rPr>
          <w:rFonts w:asciiTheme="minorHAnsi" w:hAnsiTheme="minorHAnsi" w:cstheme="minorHAnsi"/>
        </w:rPr>
        <w:t xml:space="preserve">: </w:t>
      </w:r>
      <w:r w:rsidR="00A2125A" w:rsidRPr="00CC6A13">
        <w:rPr>
          <w:rFonts w:asciiTheme="minorHAnsi" w:hAnsiTheme="minorHAnsi" w:cstheme="minorHAnsi"/>
        </w:rPr>
        <w:t>9</w:t>
      </w:r>
      <w:r w:rsidRPr="00CC6A13">
        <w:rPr>
          <w:rFonts w:asciiTheme="minorHAnsi" w:hAnsiTheme="minorHAnsi" w:cstheme="minorHAnsi"/>
        </w:rPr>
        <w:t>.</w:t>
      </w:r>
      <w:r w:rsidR="00A2125A" w:rsidRPr="00CC6A13">
        <w:rPr>
          <w:rFonts w:asciiTheme="minorHAnsi" w:hAnsiTheme="minorHAnsi" w:cstheme="minorHAnsi"/>
        </w:rPr>
        <w:t>2</w:t>
      </w:r>
      <w:r w:rsidRPr="00CC6A13">
        <w:rPr>
          <w:rFonts w:asciiTheme="minorHAnsi" w:hAnsiTheme="minorHAnsi" w:cstheme="minorHAnsi"/>
        </w:rPr>
        <w:t xml:space="preserve"> times), where the median pay is calculated on a full-time equivalent basis for the salaries paid by the University to its staff. The</w:t>
      </w:r>
      <w:r w:rsidR="00EF1F6B" w:rsidRPr="00CC6A13">
        <w:rPr>
          <w:rFonts w:asciiTheme="minorHAnsi" w:hAnsiTheme="minorHAnsi" w:cstheme="minorHAnsi"/>
        </w:rPr>
        <w:t> </w:t>
      </w:r>
      <w:r w:rsidRPr="00CC6A13">
        <w:rPr>
          <w:rFonts w:asciiTheme="minorHAnsi" w:hAnsiTheme="minorHAnsi" w:cstheme="minorHAnsi"/>
        </w:rPr>
        <w:t>Vice</w:t>
      </w:r>
      <w:r w:rsidR="00EF1F6B" w:rsidRPr="00CC6A13">
        <w:rPr>
          <w:rFonts w:asciiTheme="minorHAnsi" w:hAnsiTheme="minorHAnsi" w:cstheme="minorHAnsi"/>
        </w:rPr>
        <w:noBreakHyphen/>
      </w:r>
      <w:r w:rsidRPr="00CC6A13">
        <w:rPr>
          <w:rFonts w:asciiTheme="minorHAnsi" w:hAnsiTheme="minorHAnsi" w:cstheme="minorHAnsi"/>
        </w:rPr>
        <w:t xml:space="preserve">Chancellor’s total remuneration is </w:t>
      </w:r>
      <w:r w:rsidR="00542745" w:rsidRPr="0095020E">
        <w:rPr>
          <w:rFonts w:asciiTheme="minorHAnsi" w:hAnsiTheme="minorHAnsi" w:cstheme="minorHAnsi"/>
          <w:color w:val="000000" w:themeColor="text1"/>
        </w:rPr>
        <w:t>9.9</w:t>
      </w:r>
      <w:r w:rsidR="00541A65" w:rsidRPr="0095020E">
        <w:rPr>
          <w:rFonts w:asciiTheme="minorHAnsi" w:hAnsiTheme="minorHAnsi" w:cstheme="minorHAnsi"/>
          <w:color w:val="000000" w:themeColor="text1"/>
        </w:rPr>
        <w:t xml:space="preserve"> </w:t>
      </w:r>
      <w:r w:rsidRPr="00CC6A13">
        <w:rPr>
          <w:rFonts w:asciiTheme="minorHAnsi" w:hAnsiTheme="minorHAnsi" w:cstheme="minorHAnsi"/>
        </w:rPr>
        <w:t>times the median total remuneration of staff (202</w:t>
      </w:r>
      <w:r w:rsidR="00A2125A" w:rsidRPr="00CC6A13">
        <w:rPr>
          <w:rFonts w:asciiTheme="minorHAnsi" w:hAnsiTheme="minorHAnsi" w:cstheme="minorHAnsi"/>
        </w:rPr>
        <w:t>3</w:t>
      </w:r>
      <w:r w:rsidRPr="00CC6A13">
        <w:rPr>
          <w:rFonts w:asciiTheme="minorHAnsi" w:hAnsiTheme="minorHAnsi" w:cstheme="minorHAnsi"/>
        </w:rPr>
        <w:t>:</w:t>
      </w:r>
      <w:r w:rsidR="0095020E">
        <w:rPr>
          <w:rFonts w:asciiTheme="minorHAnsi" w:hAnsiTheme="minorHAnsi" w:cstheme="minorHAnsi"/>
        </w:rPr>
        <w:t> </w:t>
      </w:r>
      <w:r w:rsidR="00A2125A" w:rsidRPr="00CC6A13">
        <w:rPr>
          <w:rFonts w:asciiTheme="minorHAnsi" w:hAnsiTheme="minorHAnsi" w:cstheme="minorHAnsi"/>
        </w:rPr>
        <w:t>9.9</w:t>
      </w:r>
      <w:r w:rsidR="0095020E">
        <w:rPr>
          <w:rFonts w:asciiTheme="minorHAnsi" w:hAnsiTheme="minorHAnsi" w:cstheme="minorHAnsi"/>
        </w:rPr>
        <w:t> </w:t>
      </w:r>
      <w:r w:rsidRPr="00CC6A13">
        <w:rPr>
          <w:rFonts w:asciiTheme="minorHAnsi" w:hAnsiTheme="minorHAnsi" w:cstheme="minorHAnsi"/>
        </w:rPr>
        <w:t xml:space="preserve">times), where the median total remuneration is calculated on a full-time equivalent basis for the total remuneration by the University to its staff. The median calculations include salaries part funded by the NHS. </w:t>
      </w:r>
    </w:p>
    <w:p w14:paraId="4CC0D34A" w14:textId="77777777" w:rsidR="00137CA9" w:rsidRPr="00CC6A13" w:rsidRDefault="00137CA9" w:rsidP="000E1131">
      <w:pPr>
        <w:spacing w:after="0" w:line="240" w:lineRule="auto"/>
        <w:ind w:right="-330"/>
        <w:rPr>
          <w:rFonts w:asciiTheme="minorHAnsi" w:hAnsiTheme="minorHAnsi" w:cstheme="minorHAnsi"/>
          <w:b/>
          <w:bCs/>
        </w:rPr>
      </w:pPr>
    </w:p>
    <w:p w14:paraId="1161C3F6" w14:textId="167FD550" w:rsidR="007C7CAB" w:rsidRPr="00CC6A13" w:rsidRDefault="007C7CAB" w:rsidP="000E1131">
      <w:pPr>
        <w:spacing w:after="0" w:line="240" w:lineRule="auto"/>
        <w:ind w:right="-330"/>
        <w:rPr>
          <w:rFonts w:asciiTheme="minorHAnsi" w:hAnsiTheme="minorHAnsi" w:cstheme="minorHAnsi"/>
          <w:b/>
          <w:bCs/>
        </w:rPr>
      </w:pPr>
      <w:r w:rsidRPr="00CC6A13">
        <w:rPr>
          <w:rFonts w:asciiTheme="minorHAnsi" w:hAnsiTheme="minorHAnsi" w:cstheme="minorHAnsi"/>
          <w:b/>
          <w:bCs/>
        </w:rPr>
        <w:t>Staff with a basic salary over £100k per annum</w:t>
      </w:r>
    </w:p>
    <w:p w14:paraId="27148393" w14:textId="495BEC59" w:rsidR="008033C1" w:rsidRPr="00CC6A13" w:rsidRDefault="00BA3FE9" w:rsidP="000E1131">
      <w:pPr>
        <w:spacing w:after="0" w:line="240" w:lineRule="auto"/>
        <w:ind w:right="-330"/>
        <w:jc w:val="both"/>
        <w:rPr>
          <w:rFonts w:asciiTheme="minorHAnsi" w:hAnsiTheme="minorHAnsi" w:cstheme="minorHAnsi"/>
          <w:strike/>
        </w:rPr>
      </w:pPr>
      <w:r w:rsidRPr="00CC6A13">
        <w:rPr>
          <w:rFonts w:asciiTheme="minorHAnsi" w:hAnsiTheme="minorHAnsi" w:cstheme="minorHAnsi"/>
        </w:rPr>
        <w:t>In 202</w:t>
      </w:r>
      <w:r w:rsidR="00A2125A" w:rsidRPr="00CC6A13">
        <w:rPr>
          <w:rFonts w:asciiTheme="minorHAnsi" w:hAnsiTheme="minorHAnsi" w:cstheme="minorHAnsi"/>
        </w:rPr>
        <w:t>4</w:t>
      </w:r>
      <w:r w:rsidRPr="00CC6A13">
        <w:rPr>
          <w:rFonts w:asciiTheme="minorHAnsi" w:hAnsiTheme="minorHAnsi" w:cstheme="minorHAnsi"/>
        </w:rPr>
        <w:t xml:space="preserve"> there </w:t>
      </w:r>
      <w:r w:rsidRPr="0095020E">
        <w:rPr>
          <w:rFonts w:asciiTheme="minorHAnsi" w:hAnsiTheme="minorHAnsi" w:cstheme="minorHAnsi"/>
          <w:color w:val="000000" w:themeColor="text1"/>
        </w:rPr>
        <w:t>were</w:t>
      </w:r>
      <w:r w:rsidR="00F41329" w:rsidRPr="0095020E">
        <w:rPr>
          <w:rFonts w:asciiTheme="minorHAnsi" w:hAnsiTheme="minorHAnsi" w:cstheme="minorHAnsi"/>
          <w:color w:val="000000" w:themeColor="text1"/>
        </w:rPr>
        <w:t xml:space="preserve"> </w:t>
      </w:r>
      <w:r w:rsidR="00542745" w:rsidRPr="0095020E">
        <w:rPr>
          <w:rFonts w:asciiTheme="minorHAnsi" w:hAnsiTheme="minorHAnsi" w:cstheme="minorHAnsi"/>
          <w:color w:val="000000" w:themeColor="text1"/>
        </w:rPr>
        <w:t>66</w:t>
      </w:r>
      <w:r w:rsidRPr="0095020E">
        <w:rPr>
          <w:rFonts w:asciiTheme="minorHAnsi" w:hAnsiTheme="minorHAnsi" w:cstheme="minorHAnsi"/>
          <w:color w:val="000000" w:themeColor="text1"/>
        </w:rPr>
        <w:t xml:space="preserve"> </w:t>
      </w:r>
      <w:r w:rsidRPr="00CC6A13">
        <w:rPr>
          <w:rFonts w:asciiTheme="minorHAnsi" w:hAnsiTheme="minorHAnsi" w:cstheme="minorHAnsi"/>
        </w:rPr>
        <w:t>members of staff with a basic salary over £100k per annum (202</w:t>
      </w:r>
      <w:r w:rsidR="00A2125A" w:rsidRPr="00CC6A13">
        <w:rPr>
          <w:rFonts w:asciiTheme="minorHAnsi" w:hAnsiTheme="minorHAnsi" w:cstheme="minorHAnsi"/>
        </w:rPr>
        <w:t>3</w:t>
      </w:r>
      <w:r w:rsidRPr="00CC6A13">
        <w:rPr>
          <w:rFonts w:asciiTheme="minorHAnsi" w:hAnsiTheme="minorHAnsi" w:cstheme="minorHAnsi"/>
        </w:rPr>
        <w:t>:</w:t>
      </w:r>
      <w:r w:rsidR="0095020E">
        <w:rPr>
          <w:rFonts w:asciiTheme="minorHAnsi" w:hAnsiTheme="minorHAnsi" w:cstheme="minorHAnsi"/>
        </w:rPr>
        <w:t xml:space="preserve"> </w:t>
      </w:r>
      <w:r w:rsidR="00542745" w:rsidRPr="0095020E">
        <w:rPr>
          <w:rFonts w:asciiTheme="minorHAnsi" w:hAnsiTheme="minorHAnsi" w:cstheme="minorHAnsi"/>
          <w:color w:val="000000" w:themeColor="text1"/>
        </w:rPr>
        <w:t>61</w:t>
      </w:r>
      <w:r w:rsidRPr="0095020E">
        <w:rPr>
          <w:rFonts w:asciiTheme="minorHAnsi" w:hAnsiTheme="minorHAnsi" w:cstheme="minorHAnsi"/>
          <w:color w:val="000000" w:themeColor="text1"/>
        </w:rPr>
        <w:t>).</w:t>
      </w:r>
      <w:r w:rsidR="00F905C7" w:rsidRPr="0095020E">
        <w:rPr>
          <w:rFonts w:asciiTheme="minorHAnsi" w:hAnsiTheme="minorHAnsi" w:cstheme="minorHAnsi"/>
          <w:color w:val="000000" w:themeColor="text1"/>
        </w:rPr>
        <w:t xml:space="preserve"> </w:t>
      </w:r>
      <w:r w:rsidRPr="00CC6A13">
        <w:rPr>
          <w:rFonts w:asciiTheme="minorHAnsi" w:hAnsiTheme="minorHAnsi" w:cstheme="minorHAnsi"/>
        </w:rPr>
        <w:t>The</w:t>
      </w:r>
      <w:r w:rsidR="00EA5B90" w:rsidRPr="00CC6A13">
        <w:rPr>
          <w:rFonts w:asciiTheme="minorHAnsi" w:hAnsiTheme="minorHAnsi" w:cstheme="minorHAnsi"/>
        </w:rPr>
        <w:t> </w:t>
      </w:r>
      <w:r w:rsidRPr="00CC6A13">
        <w:rPr>
          <w:rFonts w:asciiTheme="minorHAnsi" w:hAnsiTheme="minorHAnsi" w:cstheme="minorHAnsi"/>
        </w:rPr>
        <w:t>Remuneration Committee considers any proposal for severance payments for senior members of staff and for staff earning a basic full time equivalent salary of more than £100k per annum.</w:t>
      </w:r>
      <w:r w:rsidR="00F905C7" w:rsidRPr="00CC6A13">
        <w:rPr>
          <w:rFonts w:asciiTheme="minorHAnsi" w:hAnsiTheme="minorHAnsi" w:cstheme="minorHAnsi"/>
        </w:rPr>
        <w:t xml:space="preserve"> </w:t>
      </w:r>
    </w:p>
    <w:p w14:paraId="3BC07A0D" w14:textId="77777777" w:rsidR="00650AC2" w:rsidRPr="00CC6A13" w:rsidRDefault="00650AC2" w:rsidP="000E1131">
      <w:pPr>
        <w:spacing w:after="0" w:line="240" w:lineRule="auto"/>
        <w:ind w:right="-330"/>
        <w:jc w:val="both"/>
        <w:rPr>
          <w:rFonts w:asciiTheme="minorHAnsi" w:hAnsiTheme="minorHAnsi" w:cstheme="minorHAnsi"/>
        </w:rPr>
      </w:pPr>
    </w:p>
    <w:p w14:paraId="5ACB463D" w14:textId="5DA98721" w:rsidR="0004123E" w:rsidRPr="00CC6A13" w:rsidRDefault="0004123E" w:rsidP="000E1131">
      <w:pPr>
        <w:spacing w:after="0" w:line="240" w:lineRule="auto"/>
        <w:ind w:right="-330"/>
        <w:rPr>
          <w:rFonts w:asciiTheme="minorHAnsi" w:hAnsiTheme="minorHAnsi" w:cstheme="minorHAnsi"/>
          <w:b/>
          <w:bCs/>
        </w:rPr>
      </w:pPr>
      <w:r w:rsidRPr="00CC6A13">
        <w:rPr>
          <w:rFonts w:asciiTheme="minorHAnsi" w:hAnsiTheme="minorHAnsi" w:cstheme="minorHAnsi"/>
          <w:b/>
          <w:bCs/>
        </w:rPr>
        <w:t>Remuneration Committee Business in 202</w:t>
      </w:r>
      <w:r w:rsidR="00A2125A" w:rsidRPr="00CC6A13">
        <w:rPr>
          <w:rFonts w:asciiTheme="minorHAnsi" w:hAnsiTheme="minorHAnsi" w:cstheme="minorHAnsi"/>
          <w:b/>
          <w:bCs/>
        </w:rPr>
        <w:t>3</w:t>
      </w:r>
      <w:r w:rsidRPr="00CC6A13">
        <w:rPr>
          <w:rFonts w:asciiTheme="minorHAnsi" w:hAnsiTheme="minorHAnsi" w:cstheme="minorHAnsi"/>
          <w:b/>
          <w:bCs/>
        </w:rPr>
        <w:t>/2</w:t>
      </w:r>
      <w:r w:rsidR="00A2125A" w:rsidRPr="00CC6A13">
        <w:rPr>
          <w:rFonts w:asciiTheme="minorHAnsi" w:hAnsiTheme="minorHAnsi" w:cstheme="minorHAnsi"/>
          <w:b/>
          <w:bCs/>
        </w:rPr>
        <w:t>4</w:t>
      </w:r>
      <w:r w:rsidRPr="00CC6A13">
        <w:rPr>
          <w:rFonts w:asciiTheme="minorHAnsi" w:hAnsiTheme="minorHAnsi" w:cstheme="minorHAnsi"/>
          <w:b/>
          <w:bCs/>
        </w:rPr>
        <w:t xml:space="preserve"> </w:t>
      </w:r>
    </w:p>
    <w:p w14:paraId="4CE92374" w14:textId="5F395B83" w:rsidR="0004123E" w:rsidRPr="00CC6A13" w:rsidRDefault="0004123E" w:rsidP="00AC6D17">
      <w:pPr>
        <w:spacing w:after="0" w:line="240" w:lineRule="auto"/>
        <w:ind w:right="-329"/>
        <w:jc w:val="both"/>
        <w:rPr>
          <w:rFonts w:asciiTheme="minorHAnsi" w:hAnsiTheme="minorHAnsi" w:cstheme="minorHAnsi"/>
        </w:rPr>
      </w:pPr>
      <w:r w:rsidRPr="00CC6A13">
        <w:rPr>
          <w:rFonts w:asciiTheme="minorHAnsi" w:hAnsiTheme="minorHAnsi" w:cstheme="minorHAnsi"/>
        </w:rPr>
        <w:t xml:space="preserve">The Remuneration Committee met </w:t>
      </w:r>
      <w:r w:rsidR="00CC6A13">
        <w:rPr>
          <w:rFonts w:asciiTheme="minorHAnsi" w:hAnsiTheme="minorHAnsi" w:cstheme="minorHAnsi"/>
        </w:rPr>
        <w:t>four</w:t>
      </w:r>
      <w:r w:rsidR="00DD4590" w:rsidRPr="00CC6A13">
        <w:rPr>
          <w:rFonts w:asciiTheme="minorHAnsi" w:hAnsiTheme="minorHAnsi" w:cstheme="minorHAnsi"/>
        </w:rPr>
        <w:t xml:space="preserve"> </w:t>
      </w:r>
      <w:r w:rsidRPr="00CC6A13">
        <w:rPr>
          <w:rFonts w:asciiTheme="minorHAnsi" w:hAnsiTheme="minorHAnsi" w:cstheme="minorHAnsi"/>
        </w:rPr>
        <w:t>times during the 202</w:t>
      </w:r>
      <w:r w:rsidR="00A2125A" w:rsidRPr="00CC6A13">
        <w:rPr>
          <w:rFonts w:asciiTheme="minorHAnsi" w:hAnsiTheme="minorHAnsi" w:cstheme="minorHAnsi"/>
        </w:rPr>
        <w:t>3</w:t>
      </w:r>
      <w:r w:rsidRPr="00CC6A13">
        <w:rPr>
          <w:rFonts w:asciiTheme="minorHAnsi" w:hAnsiTheme="minorHAnsi" w:cstheme="minorHAnsi"/>
        </w:rPr>
        <w:t>/2</w:t>
      </w:r>
      <w:r w:rsidR="00A2125A" w:rsidRPr="00CC6A13">
        <w:rPr>
          <w:rFonts w:asciiTheme="minorHAnsi" w:hAnsiTheme="minorHAnsi" w:cstheme="minorHAnsi"/>
        </w:rPr>
        <w:t>4</w:t>
      </w:r>
      <w:r w:rsidRPr="00CC6A13">
        <w:rPr>
          <w:rFonts w:asciiTheme="minorHAnsi" w:hAnsiTheme="minorHAnsi" w:cstheme="minorHAnsi"/>
        </w:rPr>
        <w:t xml:space="preserve"> academic year, on </w:t>
      </w:r>
      <w:r w:rsidR="00DD4590" w:rsidRPr="00CC6A13">
        <w:rPr>
          <w:rFonts w:asciiTheme="minorHAnsi" w:hAnsiTheme="minorHAnsi" w:cstheme="minorHAnsi"/>
        </w:rPr>
        <w:t>1</w:t>
      </w:r>
      <w:r w:rsidRPr="00CC6A13">
        <w:rPr>
          <w:rFonts w:asciiTheme="minorHAnsi" w:hAnsiTheme="minorHAnsi" w:cstheme="minorHAnsi"/>
        </w:rPr>
        <w:t xml:space="preserve"> September 202</w:t>
      </w:r>
      <w:r w:rsidR="00DD4590" w:rsidRPr="00CC6A13">
        <w:rPr>
          <w:rFonts w:asciiTheme="minorHAnsi" w:hAnsiTheme="minorHAnsi" w:cstheme="minorHAnsi"/>
        </w:rPr>
        <w:t>3</w:t>
      </w:r>
      <w:r w:rsidRPr="00CC6A13">
        <w:rPr>
          <w:rFonts w:asciiTheme="minorHAnsi" w:hAnsiTheme="minorHAnsi" w:cstheme="minorHAnsi"/>
        </w:rPr>
        <w:t xml:space="preserve">, </w:t>
      </w:r>
      <w:r w:rsidR="00DD4590" w:rsidRPr="00CC6A13">
        <w:rPr>
          <w:rFonts w:asciiTheme="minorHAnsi" w:hAnsiTheme="minorHAnsi" w:cstheme="minorHAnsi"/>
        </w:rPr>
        <w:t>7</w:t>
      </w:r>
      <w:r w:rsidR="0095020E">
        <w:rPr>
          <w:rFonts w:asciiTheme="minorHAnsi" w:hAnsiTheme="minorHAnsi" w:cstheme="minorHAnsi"/>
        </w:rPr>
        <w:t> </w:t>
      </w:r>
      <w:r w:rsidR="00DD4590" w:rsidRPr="00CC6A13">
        <w:rPr>
          <w:rFonts w:asciiTheme="minorHAnsi" w:hAnsiTheme="minorHAnsi" w:cstheme="minorHAnsi"/>
        </w:rPr>
        <w:t>March 2024</w:t>
      </w:r>
      <w:r w:rsidRPr="00CC6A13">
        <w:rPr>
          <w:rFonts w:asciiTheme="minorHAnsi" w:hAnsiTheme="minorHAnsi" w:cstheme="minorHAnsi"/>
        </w:rPr>
        <w:t>,</w:t>
      </w:r>
      <w:r w:rsidR="00CC6A13">
        <w:rPr>
          <w:rFonts w:asciiTheme="minorHAnsi" w:hAnsiTheme="minorHAnsi" w:cstheme="minorHAnsi"/>
        </w:rPr>
        <w:t xml:space="preserve"> 10 May 2024</w:t>
      </w:r>
      <w:r w:rsidRPr="00CC6A13">
        <w:rPr>
          <w:rFonts w:asciiTheme="minorHAnsi" w:hAnsiTheme="minorHAnsi" w:cstheme="minorHAnsi"/>
        </w:rPr>
        <w:t xml:space="preserve"> and </w:t>
      </w:r>
      <w:r w:rsidR="00CC6A13" w:rsidRPr="00CC6A13">
        <w:rPr>
          <w:rFonts w:asciiTheme="minorHAnsi" w:hAnsiTheme="minorHAnsi" w:cstheme="minorHAnsi"/>
        </w:rPr>
        <w:t xml:space="preserve">3 </w:t>
      </w:r>
      <w:r w:rsidRPr="00CC6A13">
        <w:rPr>
          <w:rFonts w:asciiTheme="minorHAnsi" w:hAnsiTheme="minorHAnsi" w:cstheme="minorHAnsi"/>
        </w:rPr>
        <w:t>July 202</w:t>
      </w:r>
      <w:r w:rsidR="00DD4590" w:rsidRPr="00CC6A13">
        <w:rPr>
          <w:rFonts w:asciiTheme="minorHAnsi" w:hAnsiTheme="minorHAnsi" w:cstheme="minorHAnsi"/>
        </w:rPr>
        <w:t>4</w:t>
      </w:r>
      <w:r w:rsidRPr="00CC6A13">
        <w:rPr>
          <w:rFonts w:asciiTheme="minorHAnsi" w:hAnsiTheme="minorHAnsi" w:cstheme="minorHAnsi"/>
        </w:rPr>
        <w:t>. Matters addressed at these meetings included:</w:t>
      </w:r>
    </w:p>
    <w:p w14:paraId="13B6179F" w14:textId="7DACB718" w:rsidR="0004123E" w:rsidRPr="00CC6A13" w:rsidRDefault="0004123E" w:rsidP="000E1131">
      <w:pPr>
        <w:pStyle w:val="ListParagraph"/>
        <w:numPr>
          <w:ilvl w:val="1"/>
          <w:numId w:val="2"/>
        </w:numPr>
        <w:spacing w:after="0" w:line="240" w:lineRule="auto"/>
        <w:ind w:left="284" w:right="-330" w:hanging="284"/>
        <w:jc w:val="both"/>
        <w:rPr>
          <w:rFonts w:asciiTheme="minorHAnsi" w:hAnsiTheme="minorHAnsi" w:cstheme="minorHAnsi"/>
        </w:rPr>
      </w:pPr>
      <w:r w:rsidRPr="00CC6A13">
        <w:rPr>
          <w:rFonts w:asciiTheme="minorHAnsi" w:hAnsiTheme="minorHAnsi" w:cstheme="minorHAnsi"/>
        </w:rPr>
        <w:t>Reviewing and determining the remuneration, benefits and conditions of employment of new members of the Senior Leadership Team and Director positions;</w:t>
      </w:r>
    </w:p>
    <w:p w14:paraId="76E05567" w14:textId="677B63F8" w:rsidR="000D5EEB" w:rsidRPr="00CC6A13" w:rsidRDefault="000D5EEB" w:rsidP="000E1131">
      <w:pPr>
        <w:pStyle w:val="ListParagraph"/>
        <w:numPr>
          <w:ilvl w:val="1"/>
          <w:numId w:val="2"/>
        </w:numPr>
        <w:spacing w:after="0" w:line="240" w:lineRule="auto"/>
        <w:ind w:left="284" w:right="-330" w:hanging="284"/>
        <w:jc w:val="both"/>
        <w:rPr>
          <w:rFonts w:asciiTheme="minorHAnsi" w:hAnsiTheme="minorHAnsi" w:cstheme="minorHAnsi"/>
        </w:rPr>
      </w:pPr>
      <w:r w:rsidRPr="00CC6A13">
        <w:rPr>
          <w:rFonts w:asciiTheme="minorHAnsi" w:hAnsiTheme="minorHAnsi" w:cstheme="minorHAnsi"/>
        </w:rPr>
        <w:t>Considering and making decisions on the Remuneration process for 2023 and 2024;</w:t>
      </w:r>
    </w:p>
    <w:p w14:paraId="7346C798" w14:textId="4E8B3FCB" w:rsidR="0004123E" w:rsidRPr="00CC6A13" w:rsidRDefault="0004123E" w:rsidP="000E1131">
      <w:pPr>
        <w:pStyle w:val="ListParagraph"/>
        <w:numPr>
          <w:ilvl w:val="1"/>
          <w:numId w:val="2"/>
        </w:numPr>
        <w:spacing w:after="0" w:line="240" w:lineRule="auto"/>
        <w:ind w:left="284" w:right="-330" w:hanging="284"/>
        <w:jc w:val="both"/>
        <w:rPr>
          <w:rFonts w:asciiTheme="minorHAnsi" w:hAnsiTheme="minorHAnsi" w:cstheme="minorHAnsi"/>
        </w:rPr>
      </w:pPr>
      <w:r w:rsidRPr="00CC6A13">
        <w:rPr>
          <w:rFonts w:asciiTheme="minorHAnsi" w:hAnsiTheme="minorHAnsi" w:cstheme="minorHAnsi"/>
        </w:rPr>
        <w:t xml:space="preserve">Approving the cost-of-living award for the Vice-Chancellor and noting the award for all other colleagues in accordance with the salary increases applied following </w:t>
      </w:r>
      <w:r w:rsidR="00541A65" w:rsidRPr="00CC6A13">
        <w:rPr>
          <w:rFonts w:asciiTheme="minorHAnsi" w:hAnsiTheme="minorHAnsi" w:cstheme="minorHAnsi"/>
        </w:rPr>
        <w:t>2023/24</w:t>
      </w:r>
      <w:r w:rsidRPr="00CC6A13">
        <w:rPr>
          <w:rFonts w:asciiTheme="minorHAnsi" w:hAnsiTheme="minorHAnsi" w:cstheme="minorHAnsi"/>
        </w:rPr>
        <w:t xml:space="preserve"> pay negotiations conducted by UCEA on behalf of HEIs;</w:t>
      </w:r>
    </w:p>
    <w:p w14:paraId="2F5670D5" w14:textId="17A09667" w:rsidR="00F209B1" w:rsidRPr="00CC6A13" w:rsidRDefault="00F209B1" w:rsidP="000E1131">
      <w:pPr>
        <w:pStyle w:val="ListParagraph"/>
        <w:numPr>
          <w:ilvl w:val="1"/>
          <w:numId w:val="2"/>
        </w:numPr>
        <w:spacing w:after="0" w:line="240" w:lineRule="auto"/>
        <w:ind w:left="284" w:right="-330" w:hanging="284"/>
        <w:jc w:val="both"/>
        <w:rPr>
          <w:rFonts w:asciiTheme="minorHAnsi" w:hAnsiTheme="minorHAnsi" w:cstheme="minorHAnsi"/>
        </w:rPr>
      </w:pPr>
      <w:r w:rsidRPr="00CC6A13">
        <w:rPr>
          <w:rFonts w:asciiTheme="minorHAnsi" w:hAnsiTheme="minorHAnsi" w:cstheme="minorHAnsi"/>
        </w:rPr>
        <w:t xml:space="preserve">Reviewing </w:t>
      </w:r>
      <w:r w:rsidR="00960B11" w:rsidRPr="00CC6A13">
        <w:rPr>
          <w:rFonts w:asciiTheme="minorHAnsi" w:hAnsiTheme="minorHAnsi" w:cstheme="minorHAnsi"/>
        </w:rPr>
        <w:t xml:space="preserve">the Remuneration Committee’s terms of reference </w:t>
      </w:r>
      <w:r w:rsidR="0096159A">
        <w:rPr>
          <w:rFonts w:asciiTheme="minorHAnsi" w:hAnsiTheme="minorHAnsi" w:cstheme="minorHAnsi"/>
        </w:rPr>
        <w:t xml:space="preserve">and </w:t>
      </w:r>
      <w:r w:rsidR="00414C37">
        <w:rPr>
          <w:rFonts w:asciiTheme="minorHAnsi" w:hAnsiTheme="minorHAnsi" w:cstheme="minorHAnsi"/>
        </w:rPr>
        <w:t xml:space="preserve">committee </w:t>
      </w:r>
      <w:r w:rsidR="0096159A">
        <w:rPr>
          <w:rFonts w:asciiTheme="minorHAnsi" w:hAnsiTheme="minorHAnsi" w:cstheme="minorHAnsi"/>
        </w:rPr>
        <w:t xml:space="preserve">effectiveness </w:t>
      </w:r>
      <w:r w:rsidR="00960B11" w:rsidRPr="00CC6A13">
        <w:rPr>
          <w:rFonts w:asciiTheme="minorHAnsi" w:hAnsiTheme="minorHAnsi" w:cstheme="minorHAnsi"/>
        </w:rPr>
        <w:t>in line with sector practice;</w:t>
      </w:r>
    </w:p>
    <w:p w14:paraId="7D9A7396" w14:textId="599B2139" w:rsidR="00F209B1" w:rsidRPr="00CC6A13" w:rsidRDefault="00F209B1" w:rsidP="000E1131">
      <w:pPr>
        <w:pStyle w:val="ListParagraph"/>
        <w:numPr>
          <w:ilvl w:val="1"/>
          <w:numId w:val="2"/>
        </w:numPr>
        <w:spacing w:after="0" w:line="240" w:lineRule="auto"/>
        <w:ind w:left="284" w:right="-330" w:hanging="284"/>
        <w:jc w:val="both"/>
        <w:rPr>
          <w:rFonts w:asciiTheme="minorHAnsi" w:hAnsiTheme="minorHAnsi" w:cstheme="minorHAnsi"/>
        </w:rPr>
      </w:pPr>
      <w:r w:rsidRPr="00CC6A13">
        <w:rPr>
          <w:rFonts w:asciiTheme="minorHAnsi" w:hAnsiTheme="minorHAnsi" w:cstheme="minorHAnsi"/>
        </w:rPr>
        <w:t>Approving a new Annual Pay Policy Statement setting out the University’s policies on a range of issues concerning the pay and remuneration of its workforce;</w:t>
      </w:r>
    </w:p>
    <w:p w14:paraId="4E06E072" w14:textId="05F89F71" w:rsidR="0004123E" w:rsidRPr="00CC6A13" w:rsidRDefault="0004123E" w:rsidP="000E1131">
      <w:pPr>
        <w:pStyle w:val="ListParagraph"/>
        <w:numPr>
          <w:ilvl w:val="0"/>
          <w:numId w:val="6"/>
        </w:numPr>
        <w:spacing w:after="0" w:line="240" w:lineRule="auto"/>
        <w:ind w:left="284" w:right="-330" w:hanging="284"/>
        <w:jc w:val="both"/>
        <w:rPr>
          <w:rFonts w:asciiTheme="minorHAnsi" w:hAnsiTheme="minorHAnsi" w:cstheme="minorHAnsi"/>
        </w:rPr>
      </w:pPr>
      <w:r w:rsidRPr="00CC6A13">
        <w:rPr>
          <w:rFonts w:asciiTheme="minorHAnsi" w:hAnsiTheme="minorHAnsi" w:cstheme="minorHAnsi"/>
        </w:rPr>
        <w:t xml:space="preserve">Approving a Remuneration Statement which is transparent, aligned with the recommendations of the </w:t>
      </w:r>
      <w:r w:rsidR="005E7269" w:rsidRPr="00CC6A13">
        <w:rPr>
          <w:rFonts w:asciiTheme="minorHAnsi" w:hAnsiTheme="minorHAnsi" w:cstheme="minorHAnsi"/>
        </w:rPr>
        <w:t xml:space="preserve">CUC </w:t>
      </w:r>
      <w:r w:rsidRPr="00CC6A13">
        <w:rPr>
          <w:rFonts w:asciiTheme="minorHAnsi" w:hAnsiTheme="minorHAnsi" w:cstheme="minorHAnsi"/>
        </w:rPr>
        <w:t>Higher Education Senior Staff Remuneration Code and meets the requirements of good governance;</w:t>
      </w:r>
    </w:p>
    <w:p w14:paraId="7E5D13D3" w14:textId="0B667668" w:rsidR="0096159A" w:rsidRPr="00414C37" w:rsidRDefault="00960B11" w:rsidP="002B20DA">
      <w:pPr>
        <w:pStyle w:val="ListParagraph"/>
        <w:numPr>
          <w:ilvl w:val="1"/>
          <w:numId w:val="2"/>
        </w:numPr>
        <w:spacing w:after="0" w:line="240" w:lineRule="auto"/>
        <w:ind w:left="284" w:right="-330" w:hanging="284"/>
        <w:jc w:val="both"/>
        <w:rPr>
          <w:rFonts w:asciiTheme="minorHAnsi" w:hAnsiTheme="minorHAnsi" w:cstheme="minorHAnsi"/>
        </w:rPr>
      </w:pPr>
      <w:r w:rsidRPr="00414C37">
        <w:rPr>
          <w:rFonts w:asciiTheme="minorHAnsi" w:hAnsiTheme="minorHAnsi" w:cstheme="minorHAnsi"/>
          <w:bCs/>
        </w:rPr>
        <w:t xml:space="preserve">Receiving </w:t>
      </w:r>
      <w:r w:rsidRPr="00414C37">
        <w:rPr>
          <w:rFonts w:asciiTheme="minorHAnsi" w:hAnsiTheme="minorHAnsi" w:cstheme="minorHAnsi"/>
        </w:rPr>
        <w:t xml:space="preserve">high-level updates on the University’s </w:t>
      </w:r>
      <w:r w:rsidR="00414C37">
        <w:rPr>
          <w:rFonts w:asciiTheme="minorHAnsi" w:hAnsiTheme="minorHAnsi" w:cstheme="minorHAnsi"/>
        </w:rPr>
        <w:t xml:space="preserve">Financial Position and </w:t>
      </w:r>
      <w:r w:rsidRPr="00414C37">
        <w:rPr>
          <w:rFonts w:asciiTheme="minorHAnsi" w:hAnsiTheme="minorHAnsi" w:cstheme="minorHAnsi"/>
        </w:rPr>
        <w:t>Voluntary Exit Scheme (VES)</w:t>
      </w:r>
      <w:r w:rsidR="00414C37" w:rsidRPr="00414C37">
        <w:rPr>
          <w:rFonts w:asciiTheme="minorHAnsi" w:hAnsiTheme="minorHAnsi" w:cstheme="minorHAnsi"/>
        </w:rPr>
        <w:t xml:space="preserve">, the University’s </w:t>
      </w:r>
      <w:r w:rsidR="0096159A" w:rsidRPr="00414C37">
        <w:rPr>
          <w:rFonts w:asciiTheme="minorHAnsi" w:hAnsiTheme="minorHAnsi" w:cstheme="minorHAnsi"/>
        </w:rPr>
        <w:t>reward activities and approval route</w:t>
      </w:r>
      <w:r w:rsidR="00414C37">
        <w:rPr>
          <w:rFonts w:asciiTheme="minorHAnsi" w:hAnsiTheme="minorHAnsi" w:cstheme="minorHAnsi"/>
        </w:rPr>
        <w:t xml:space="preserve">, </w:t>
      </w:r>
      <w:r w:rsidR="00414C37" w:rsidRPr="00414C37">
        <w:rPr>
          <w:rFonts w:asciiTheme="minorHAnsi" w:hAnsiTheme="minorHAnsi" w:cstheme="minorHAnsi"/>
        </w:rPr>
        <w:t>the implementation of the Real Living Wage</w:t>
      </w:r>
      <w:r w:rsidR="00414C37">
        <w:rPr>
          <w:rFonts w:asciiTheme="minorHAnsi" w:hAnsiTheme="minorHAnsi" w:cstheme="minorHAnsi"/>
        </w:rPr>
        <w:t xml:space="preserve">, and </w:t>
      </w:r>
      <w:r w:rsidR="00414C37" w:rsidRPr="00414C37">
        <w:rPr>
          <w:rFonts w:asciiTheme="minorHAnsi" w:hAnsiTheme="minorHAnsi" w:cstheme="minorHAnsi"/>
        </w:rPr>
        <w:t xml:space="preserve"> </w:t>
      </w:r>
      <w:r w:rsidR="00414C37">
        <w:rPr>
          <w:rFonts w:asciiTheme="minorHAnsi" w:hAnsiTheme="minorHAnsi" w:cstheme="minorHAnsi"/>
        </w:rPr>
        <w:t>Gender Pay;</w:t>
      </w:r>
    </w:p>
    <w:p w14:paraId="78DD6654" w14:textId="2B914050" w:rsidR="0004123E" w:rsidRPr="0096159A" w:rsidRDefault="0004123E" w:rsidP="00341B5B">
      <w:pPr>
        <w:pStyle w:val="ListParagraph"/>
        <w:numPr>
          <w:ilvl w:val="1"/>
          <w:numId w:val="2"/>
        </w:numPr>
        <w:spacing w:after="0" w:line="240" w:lineRule="auto"/>
        <w:ind w:left="284" w:right="-330" w:hanging="284"/>
        <w:jc w:val="both"/>
        <w:rPr>
          <w:rFonts w:asciiTheme="minorHAnsi" w:hAnsiTheme="minorHAnsi" w:cstheme="minorHAnsi"/>
        </w:rPr>
      </w:pPr>
      <w:r w:rsidRPr="0096159A">
        <w:rPr>
          <w:rFonts w:asciiTheme="minorHAnsi" w:hAnsiTheme="minorHAnsi" w:cstheme="minorHAnsi"/>
        </w:rPr>
        <w:t>Noting Promotions via the Retention of Exceptional Talent procedure</w:t>
      </w:r>
      <w:r w:rsidR="00E83226" w:rsidRPr="0096159A">
        <w:rPr>
          <w:rFonts w:asciiTheme="minorHAnsi" w:hAnsiTheme="minorHAnsi" w:cstheme="minorHAnsi"/>
        </w:rPr>
        <w:t>;</w:t>
      </w:r>
      <w:r w:rsidRPr="0096159A">
        <w:rPr>
          <w:rFonts w:asciiTheme="minorHAnsi" w:hAnsiTheme="minorHAnsi" w:cstheme="minorHAnsi"/>
        </w:rPr>
        <w:t xml:space="preserve"> </w:t>
      </w:r>
    </w:p>
    <w:p w14:paraId="60AB9A73" w14:textId="35D6AFFC" w:rsidR="0004123E" w:rsidRPr="00CC6A13" w:rsidRDefault="0004123E" w:rsidP="000E1131">
      <w:pPr>
        <w:spacing w:after="0" w:line="240" w:lineRule="auto"/>
        <w:ind w:left="284" w:right="-330" w:hanging="284"/>
        <w:jc w:val="both"/>
        <w:rPr>
          <w:rFonts w:asciiTheme="minorHAnsi" w:hAnsiTheme="minorHAnsi" w:cstheme="minorHAnsi"/>
        </w:rPr>
      </w:pPr>
      <w:r w:rsidRPr="00CC6A13">
        <w:rPr>
          <w:rFonts w:asciiTheme="minorHAnsi" w:hAnsiTheme="minorHAnsi" w:cstheme="minorHAnsi"/>
        </w:rPr>
        <w:t>•</w:t>
      </w:r>
      <w:r w:rsidRPr="00CC6A13">
        <w:rPr>
          <w:rFonts w:asciiTheme="minorHAnsi" w:hAnsiTheme="minorHAnsi" w:cstheme="minorHAnsi"/>
        </w:rPr>
        <w:tab/>
        <w:t>Actively involved in, and responsible for, the decision process for any severance arrangements for grade 11 employees and for payments greater than £60,000.</w:t>
      </w:r>
    </w:p>
    <w:p w14:paraId="6E9CC529" w14:textId="77777777" w:rsidR="0004123E" w:rsidRPr="00CC6A13" w:rsidRDefault="0004123E" w:rsidP="000E1131">
      <w:pPr>
        <w:spacing w:after="0" w:line="240" w:lineRule="auto"/>
        <w:ind w:left="284" w:right="-330" w:hanging="284"/>
        <w:rPr>
          <w:rFonts w:asciiTheme="minorHAnsi" w:hAnsiTheme="minorHAnsi" w:cstheme="minorHAnsi"/>
        </w:rPr>
      </w:pPr>
    </w:p>
    <w:sectPr w:rsidR="0004123E" w:rsidRPr="00CC6A13" w:rsidSect="00C328F6">
      <w:footerReference w:type="default" r:id="rId11"/>
      <w:pgSz w:w="11906" w:h="16838"/>
      <w:pgMar w:top="1191" w:right="1440" w:bottom="1191"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C993E" w14:textId="77777777" w:rsidR="005F01A8" w:rsidRDefault="005F01A8">
      <w:pPr>
        <w:spacing w:after="0" w:line="240" w:lineRule="auto"/>
      </w:pPr>
      <w:r>
        <w:separator/>
      </w:r>
    </w:p>
  </w:endnote>
  <w:endnote w:type="continuationSeparator" w:id="0">
    <w:p w14:paraId="1F91262A" w14:textId="77777777" w:rsidR="005F01A8" w:rsidRDefault="005F0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529010"/>
      <w:docPartObj>
        <w:docPartGallery w:val="Page Numbers (Bottom of Page)"/>
        <w:docPartUnique/>
      </w:docPartObj>
    </w:sdtPr>
    <w:sdtEndPr>
      <w:rPr>
        <w:noProof/>
      </w:rPr>
    </w:sdtEndPr>
    <w:sdtContent>
      <w:p w14:paraId="61F2145A" w14:textId="1F0B893E" w:rsidR="00765FF0" w:rsidRDefault="00765F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2908FC" w14:textId="77777777" w:rsidR="003F1B46" w:rsidRDefault="003F1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BDC92" w14:textId="77777777" w:rsidR="005F01A8" w:rsidRDefault="005F01A8">
      <w:pPr>
        <w:spacing w:after="0" w:line="240" w:lineRule="auto"/>
      </w:pPr>
      <w:r>
        <w:rPr>
          <w:color w:val="000000"/>
        </w:rPr>
        <w:separator/>
      </w:r>
    </w:p>
  </w:footnote>
  <w:footnote w:type="continuationSeparator" w:id="0">
    <w:p w14:paraId="661BBFAD" w14:textId="77777777" w:rsidR="005F01A8" w:rsidRDefault="005F01A8">
      <w:pPr>
        <w:spacing w:after="0" w:line="240" w:lineRule="auto"/>
      </w:pPr>
      <w:r>
        <w:continuationSeparator/>
      </w:r>
    </w:p>
  </w:footnote>
  <w:footnote w:id="1">
    <w:p w14:paraId="59A1EEA3" w14:textId="1E9DCC10" w:rsidR="007554AA" w:rsidRPr="006B1B93" w:rsidRDefault="007554AA" w:rsidP="006B1B93">
      <w:pPr>
        <w:pStyle w:val="FootnoteText"/>
        <w:ind w:right="-330"/>
        <w:jc w:val="both"/>
        <w:rPr>
          <w:rFonts w:asciiTheme="majorHAnsi" w:hAnsiTheme="majorHAnsi" w:cstheme="majorHAnsi"/>
        </w:rPr>
      </w:pPr>
      <w:r w:rsidRPr="006B1B93">
        <w:rPr>
          <w:rStyle w:val="FootnoteReference"/>
          <w:rFonts w:asciiTheme="majorHAnsi" w:hAnsiTheme="majorHAnsi" w:cstheme="majorHAnsi"/>
        </w:rPr>
        <w:footnoteRef/>
      </w:r>
      <w:r w:rsidRPr="006B1B93">
        <w:rPr>
          <w:rFonts w:asciiTheme="majorHAnsi" w:hAnsiTheme="majorHAnsi" w:cstheme="majorHAnsi"/>
        </w:rPr>
        <w:t xml:space="preserve"> </w:t>
      </w:r>
      <w:r w:rsidR="006B1B93" w:rsidRPr="006B1B93">
        <w:rPr>
          <w:rFonts w:asciiTheme="majorHAnsi" w:hAnsiTheme="majorHAnsi" w:cstheme="majorHAnsi"/>
          <w:b/>
          <w:bCs/>
        </w:rPr>
        <w:t>Explanatory note:</w:t>
      </w:r>
      <w:r w:rsidR="006B1B93" w:rsidRPr="006B1B93">
        <w:rPr>
          <w:rFonts w:asciiTheme="majorHAnsi" w:hAnsiTheme="majorHAnsi" w:cstheme="majorHAnsi"/>
        </w:rPr>
        <w:t xml:space="preserve"> When assessing the performance of Professors, a committee of senior Academic leaders agree a rating (on a 4-point scale) for each Professor’s performance.</w:t>
      </w:r>
      <w:r w:rsidR="006B1B93">
        <w:rPr>
          <w:rFonts w:asciiTheme="majorHAnsi" w:hAnsiTheme="majorHAnsi" w:cstheme="majorHAnsi"/>
        </w:rPr>
        <w:t xml:space="preserve"> </w:t>
      </w:r>
      <w:r w:rsidR="006B1B93" w:rsidRPr="006B1B93">
        <w:rPr>
          <w:rFonts w:asciiTheme="majorHAnsi" w:hAnsiTheme="majorHAnsi" w:cstheme="majorHAnsi"/>
        </w:rPr>
        <w:t>Higher performance result</w:t>
      </w:r>
      <w:r w:rsidR="006B1B93">
        <w:rPr>
          <w:rFonts w:asciiTheme="majorHAnsi" w:hAnsiTheme="majorHAnsi" w:cstheme="majorHAnsi"/>
        </w:rPr>
        <w:t>s</w:t>
      </w:r>
      <w:r w:rsidR="006B1B93" w:rsidRPr="006B1B93">
        <w:rPr>
          <w:rFonts w:asciiTheme="majorHAnsi" w:hAnsiTheme="majorHAnsi" w:cstheme="majorHAnsi"/>
        </w:rPr>
        <w:t xml:space="preserve"> in a higher rating, and potentially a higher pay award. Typically, for example, we would not expect </w:t>
      </w:r>
      <w:proofErr w:type="gramStart"/>
      <w:r w:rsidR="006B1B93" w:rsidRPr="006B1B93">
        <w:rPr>
          <w:rFonts w:asciiTheme="majorHAnsi" w:hAnsiTheme="majorHAnsi" w:cstheme="majorHAnsi"/>
        </w:rPr>
        <w:t>the majority of</w:t>
      </w:r>
      <w:proofErr w:type="gramEnd"/>
      <w:r w:rsidR="006B1B93" w:rsidRPr="006B1B93">
        <w:rPr>
          <w:rFonts w:asciiTheme="majorHAnsi" w:hAnsiTheme="majorHAnsi" w:cstheme="majorHAnsi"/>
        </w:rPr>
        <w:t xml:space="preserve"> Professors to receive the highest performance rating, which is reserved for truly exceptional performance. The Performance curve shows the distribution of performance ratings across the Professor community and allows us to identify and explore any instances where the level of ratings is higher or lower than expected.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02401"/>
    <w:multiLevelType w:val="multilevel"/>
    <w:tmpl w:val="06568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AE7AB2"/>
    <w:multiLevelType w:val="multilevel"/>
    <w:tmpl w:val="8BC46B5A"/>
    <w:lvl w:ilvl="0">
      <w:numFmt w:val="bullet"/>
      <w:lvlText w:val=""/>
      <w:lvlJc w:val="left"/>
      <w:pPr>
        <w:ind w:left="720" w:hanging="360"/>
      </w:pPr>
      <w:rPr>
        <w:rFonts w:ascii="Symbol" w:hAnsi="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8C525A0"/>
    <w:multiLevelType w:val="hybridMultilevel"/>
    <w:tmpl w:val="594A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4E2C2B"/>
    <w:multiLevelType w:val="multilevel"/>
    <w:tmpl w:val="6E844312"/>
    <w:lvl w:ilvl="0">
      <w:numFmt w:val="bullet"/>
      <w:lvlText w:val=""/>
      <w:lvlJc w:val="left"/>
      <w:pPr>
        <w:ind w:left="1080" w:hanging="360"/>
      </w:pPr>
      <w:rPr>
        <w:rFonts w:ascii="Symbol" w:hAnsi="Symbol"/>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7B3C0EC1"/>
    <w:multiLevelType w:val="multilevel"/>
    <w:tmpl w:val="5E24242E"/>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7DCB2413"/>
    <w:multiLevelType w:val="hybridMultilevel"/>
    <w:tmpl w:val="31A87B9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16cid:durableId="729113706">
    <w:abstractNumId w:val="0"/>
  </w:num>
  <w:num w:numId="2" w16cid:durableId="1251503702">
    <w:abstractNumId w:val="3"/>
  </w:num>
  <w:num w:numId="3" w16cid:durableId="1915357326">
    <w:abstractNumId w:val="1"/>
  </w:num>
  <w:num w:numId="4" w16cid:durableId="825971500">
    <w:abstractNumId w:val="4"/>
  </w:num>
  <w:num w:numId="5" w16cid:durableId="1338464481">
    <w:abstractNumId w:val="5"/>
  </w:num>
  <w:num w:numId="6" w16cid:durableId="1046635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C1"/>
    <w:rsid w:val="0004123E"/>
    <w:rsid w:val="00050349"/>
    <w:rsid w:val="000556F8"/>
    <w:rsid w:val="000575CA"/>
    <w:rsid w:val="000A6BC5"/>
    <w:rsid w:val="000D3948"/>
    <w:rsid w:val="000D5EEB"/>
    <w:rsid w:val="000E1131"/>
    <w:rsid w:val="000E314F"/>
    <w:rsid w:val="00137CA9"/>
    <w:rsid w:val="0018473E"/>
    <w:rsid w:val="001A21BF"/>
    <w:rsid w:val="001C4ADC"/>
    <w:rsid w:val="00201A40"/>
    <w:rsid w:val="00206764"/>
    <w:rsid w:val="00206A21"/>
    <w:rsid w:val="002212D7"/>
    <w:rsid w:val="002214D2"/>
    <w:rsid w:val="00222216"/>
    <w:rsid w:val="00230F2E"/>
    <w:rsid w:val="00233B3D"/>
    <w:rsid w:val="00275093"/>
    <w:rsid w:val="002869B2"/>
    <w:rsid w:val="002912AB"/>
    <w:rsid w:val="002A17A3"/>
    <w:rsid w:val="002B7212"/>
    <w:rsid w:val="002F20A8"/>
    <w:rsid w:val="002F474C"/>
    <w:rsid w:val="00302AC6"/>
    <w:rsid w:val="0031744B"/>
    <w:rsid w:val="00352534"/>
    <w:rsid w:val="00357465"/>
    <w:rsid w:val="00377883"/>
    <w:rsid w:val="003802E1"/>
    <w:rsid w:val="003837C2"/>
    <w:rsid w:val="0038480B"/>
    <w:rsid w:val="0039614C"/>
    <w:rsid w:val="003A7C6F"/>
    <w:rsid w:val="003C5526"/>
    <w:rsid w:val="003F1B46"/>
    <w:rsid w:val="00402E3A"/>
    <w:rsid w:val="00414C37"/>
    <w:rsid w:val="004238DC"/>
    <w:rsid w:val="00430B3F"/>
    <w:rsid w:val="00454B9C"/>
    <w:rsid w:val="00467481"/>
    <w:rsid w:val="00472442"/>
    <w:rsid w:val="004C022D"/>
    <w:rsid w:val="004C121B"/>
    <w:rsid w:val="004C3395"/>
    <w:rsid w:val="004E316E"/>
    <w:rsid w:val="004F5D2E"/>
    <w:rsid w:val="00504ADC"/>
    <w:rsid w:val="005109A2"/>
    <w:rsid w:val="00541A65"/>
    <w:rsid w:val="00542745"/>
    <w:rsid w:val="00551070"/>
    <w:rsid w:val="00556F79"/>
    <w:rsid w:val="00565092"/>
    <w:rsid w:val="00590AB8"/>
    <w:rsid w:val="00591820"/>
    <w:rsid w:val="005C3F0D"/>
    <w:rsid w:val="005C7C6F"/>
    <w:rsid w:val="005E2851"/>
    <w:rsid w:val="005E50AE"/>
    <w:rsid w:val="005E7269"/>
    <w:rsid w:val="005F01A8"/>
    <w:rsid w:val="00632A02"/>
    <w:rsid w:val="006416EE"/>
    <w:rsid w:val="00642A6D"/>
    <w:rsid w:val="00643FED"/>
    <w:rsid w:val="00650AC2"/>
    <w:rsid w:val="006749D3"/>
    <w:rsid w:val="006B1B93"/>
    <w:rsid w:val="006D552D"/>
    <w:rsid w:val="006E2DE6"/>
    <w:rsid w:val="00701E06"/>
    <w:rsid w:val="00714542"/>
    <w:rsid w:val="00745C86"/>
    <w:rsid w:val="007554AA"/>
    <w:rsid w:val="00764421"/>
    <w:rsid w:val="00765FF0"/>
    <w:rsid w:val="00770168"/>
    <w:rsid w:val="00790BAA"/>
    <w:rsid w:val="00795FD4"/>
    <w:rsid w:val="007A4EC5"/>
    <w:rsid w:val="007C3FDA"/>
    <w:rsid w:val="007C7CAB"/>
    <w:rsid w:val="007D1AB5"/>
    <w:rsid w:val="008033C1"/>
    <w:rsid w:val="008222F3"/>
    <w:rsid w:val="00826AE1"/>
    <w:rsid w:val="00835C4C"/>
    <w:rsid w:val="008601CB"/>
    <w:rsid w:val="008616B8"/>
    <w:rsid w:val="00887F7A"/>
    <w:rsid w:val="00896DCE"/>
    <w:rsid w:val="008A0B62"/>
    <w:rsid w:val="008B7467"/>
    <w:rsid w:val="00942DC8"/>
    <w:rsid w:val="0095020E"/>
    <w:rsid w:val="00960B11"/>
    <w:rsid w:val="0096159A"/>
    <w:rsid w:val="00966548"/>
    <w:rsid w:val="0098601C"/>
    <w:rsid w:val="00994970"/>
    <w:rsid w:val="009A2A09"/>
    <w:rsid w:val="009A6297"/>
    <w:rsid w:val="009A6FAC"/>
    <w:rsid w:val="009B1D7F"/>
    <w:rsid w:val="009B2804"/>
    <w:rsid w:val="009C54E4"/>
    <w:rsid w:val="009D32A1"/>
    <w:rsid w:val="009D7201"/>
    <w:rsid w:val="009E61E6"/>
    <w:rsid w:val="00A032C2"/>
    <w:rsid w:val="00A2125A"/>
    <w:rsid w:val="00A25019"/>
    <w:rsid w:val="00A34582"/>
    <w:rsid w:val="00A600DB"/>
    <w:rsid w:val="00AB04A0"/>
    <w:rsid w:val="00AC6D17"/>
    <w:rsid w:val="00AC73E4"/>
    <w:rsid w:val="00B041BD"/>
    <w:rsid w:val="00B107E7"/>
    <w:rsid w:val="00B23AB1"/>
    <w:rsid w:val="00B31AC0"/>
    <w:rsid w:val="00B6014C"/>
    <w:rsid w:val="00BA3FE9"/>
    <w:rsid w:val="00BF56AA"/>
    <w:rsid w:val="00C0004B"/>
    <w:rsid w:val="00C10FC5"/>
    <w:rsid w:val="00C12D06"/>
    <w:rsid w:val="00C14BD9"/>
    <w:rsid w:val="00C328F6"/>
    <w:rsid w:val="00C401F9"/>
    <w:rsid w:val="00C905B1"/>
    <w:rsid w:val="00C930E8"/>
    <w:rsid w:val="00CC26D9"/>
    <w:rsid w:val="00CC6A13"/>
    <w:rsid w:val="00CD543F"/>
    <w:rsid w:val="00D20DB8"/>
    <w:rsid w:val="00D317D6"/>
    <w:rsid w:val="00D627DF"/>
    <w:rsid w:val="00D74AB4"/>
    <w:rsid w:val="00D85F89"/>
    <w:rsid w:val="00D87012"/>
    <w:rsid w:val="00DA3B40"/>
    <w:rsid w:val="00DD4590"/>
    <w:rsid w:val="00DE6BD4"/>
    <w:rsid w:val="00DF4BDB"/>
    <w:rsid w:val="00DF65C6"/>
    <w:rsid w:val="00E03A06"/>
    <w:rsid w:val="00E2469D"/>
    <w:rsid w:val="00E40FB6"/>
    <w:rsid w:val="00E51996"/>
    <w:rsid w:val="00E5217D"/>
    <w:rsid w:val="00E811EF"/>
    <w:rsid w:val="00E82C53"/>
    <w:rsid w:val="00E83226"/>
    <w:rsid w:val="00E868CD"/>
    <w:rsid w:val="00E87A6A"/>
    <w:rsid w:val="00E9016C"/>
    <w:rsid w:val="00E90E28"/>
    <w:rsid w:val="00EA3254"/>
    <w:rsid w:val="00EA5B90"/>
    <w:rsid w:val="00EB21AD"/>
    <w:rsid w:val="00ED79B8"/>
    <w:rsid w:val="00EE0A5E"/>
    <w:rsid w:val="00EE65FE"/>
    <w:rsid w:val="00EF1F6B"/>
    <w:rsid w:val="00F17520"/>
    <w:rsid w:val="00F209B1"/>
    <w:rsid w:val="00F209E5"/>
    <w:rsid w:val="00F24BB0"/>
    <w:rsid w:val="00F41329"/>
    <w:rsid w:val="00F4298E"/>
    <w:rsid w:val="00F7254E"/>
    <w:rsid w:val="00F83195"/>
    <w:rsid w:val="00F84D3B"/>
    <w:rsid w:val="00F905C7"/>
    <w:rsid w:val="00FB3E5D"/>
    <w:rsid w:val="00FD3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5B03A"/>
  <w15:docId w15:val="{8C243509-FA1E-47B5-9F03-C32E496A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customStyle="1" w:styleId="Default">
    <w:name w:val="Default"/>
    <w:pPr>
      <w:autoSpaceDE w:val="0"/>
      <w:spacing w:after="0" w:line="240" w:lineRule="auto"/>
    </w:pPr>
    <w:rPr>
      <w:rFonts w:ascii="Arial" w:hAnsi="Arial" w:cs="Arial"/>
      <w:color w:val="000000"/>
      <w:kern w:val="0"/>
      <w:sz w:val="24"/>
      <w:szCs w:val="24"/>
    </w:rPr>
  </w:style>
  <w:style w:type="character" w:customStyle="1" w:styleId="ListParagraphChar">
    <w:name w:val="List Paragraph Char"/>
    <w:basedOn w:val="DefaultParagraphFont"/>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Revision">
    <w:name w:val="Revision"/>
    <w:hidden/>
    <w:uiPriority w:val="99"/>
    <w:semiHidden/>
    <w:rsid w:val="00233B3D"/>
    <w:pPr>
      <w:autoSpaceDN/>
      <w:spacing w:after="0" w:line="240" w:lineRule="auto"/>
    </w:pPr>
  </w:style>
  <w:style w:type="character" w:styleId="CommentReference">
    <w:name w:val="annotation reference"/>
    <w:basedOn w:val="DefaultParagraphFont"/>
    <w:uiPriority w:val="99"/>
    <w:semiHidden/>
    <w:unhideWhenUsed/>
    <w:rsid w:val="001A21BF"/>
    <w:rPr>
      <w:sz w:val="16"/>
      <w:szCs w:val="16"/>
    </w:rPr>
  </w:style>
  <w:style w:type="paragraph" w:styleId="CommentText">
    <w:name w:val="annotation text"/>
    <w:basedOn w:val="Normal"/>
    <w:link w:val="CommentTextChar"/>
    <w:uiPriority w:val="99"/>
    <w:unhideWhenUsed/>
    <w:rsid w:val="001A21BF"/>
    <w:pPr>
      <w:spacing w:line="240" w:lineRule="auto"/>
    </w:pPr>
    <w:rPr>
      <w:sz w:val="20"/>
      <w:szCs w:val="20"/>
    </w:rPr>
  </w:style>
  <w:style w:type="character" w:customStyle="1" w:styleId="CommentTextChar">
    <w:name w:val="Comment Text Char"/>
    <w:basedOn w:val="DefaultParagraphFont"/>
    <w:link w:val="CommentText"/>
    <w:uiPriority w:val="99"/>
    <w:rsid w:val="001A21BF"/>
    <w:rPr>
      <w:sz w:val="20"/>
      <w:szCs w:val="20"/>
    </w:rPr>
  </w:style>
  <w:style w:type="paragraph" w:styleId="CommentSubject">
    <w:name w:val="annotation subject"/>
    <w:basedOn w:val="CommentText"/>
    <w:next w:val="CommentText"/>
    <w:link w:val="CommentSubjectChar"/>
    <w:uiPriority w:val="99"/>
    <w:semiHidden/>
    <w:unhideWhenUsed/>
    <w:rsid w:val="001A21BF"/>
    <w:rPr>
      <w:b/>
      <w:bCs/>
    </w:rPr>
  </w:style>
  <w:style w:type="character" w:customStyle="1" w:styleId="CommentSubjectChar">
    <w:name w:val="Comment Subject Char"/>
    <w:basedOn w:val="CommentTextChar"/>
    <w:link w:val="CommentSubject"/>
    <w:uiPriority w:val="99"/>
    <w:semiHidden/>
    <w:rsid w:val="001A21BF"/>
    <w:rPr>
      <w:b/>
      <w:bCs/>
      <w:sz w:val="20"/>
      <w:szCs w:val="20"/>
    </w:rPr>
  </w:style>
  <w:style w:type="table" w:styleId="TableGrid">
    <w:name w:val="Table Grid"/>
    <w:basedOn w:val="TableNormal"/>
    <w:uiPriority w:val="39"/>
    <w:rsid w:val="000E3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55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4AA"/>
    <w:rPr>
      <w:sz w:val="20"/>
      <w:szCs w:val="20"/>
    </w:rPr>
  </w:style>
  <w:style w:type="character" w:styleId="FootnoteReference">
    <w:name w:val="footnote reference"/>
    <w:basedOn w:val="DefaultParagraphFont"/>
    <w:uiPriority w:val="99"/>
    <w:semiHidden/>
    <w:unhideWhenUsed/>
    <w:rsid w:val="007554AA"/>
    <w:rPr>
      <w:vertAlign w:val="superscript"/>
    </w:rPr>
  </w:style>
  <w:style w:type="character" w:customStyle="1" w:styleId="ContentControlPaperNo">
    <w:name w:val="Content Control Paper No."/>
    <w:basedOn w:val="DefaultParagraphFont"/>
    <w:uiPriority w:val="1"/>
    <w:rsid w:val="00D74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02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0B3A51C0ED4C339F5E16BF8F5CFE5E"/>
        <w:category>
          <w:name w:val="General"/>
          <w:gallery w:val="placeholder"/>
        </w:category>
        <w:types>
          <w:type w:val="bbPlcHdr"/>
        </w:types>
        <w:behaviors>
          <w:behavior w:val="content"/>
        </w:behaviors>
        <w:guid w:val="{8DB233DD-BB90-486B-B81B-C0606D3043D0}"/>
      </w:docPartPr>
      <w:docPartBody>
        <w:p w:rsidR="00A942A8" w:rsidRDefault="00A942A8" w:rsidP="00A942A8">
          <w:pPr>
            <w:pStyle w:val="4D0B3A51C0ED4C339F5E16BF8F5CFE5E"/>
          </w:pPr>
          <w:r w:rsidRPr="00CD03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A8"/>
    <w:rsid w:val="003C5526"/>
    <w:rsid w:val="00A94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2A8"/>
    <w:rPr>
      <w:color w:val="808080"/>
    </w:rPr>
  </w:style>
  <w:style w:type="paragraph" w:customStyle="1" w:styleId="4D0B3A51C0ED4C339F5E16BF8F5CFE5E">
    <w:name w:val="4D0B3A51C0ED4C339F5E16BF8F5CFE5E"/>
    <w:rsid w:val="00A94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E1FAFD2BBFB84DAD51F89C4AD4124B" ma:contentTypeVersion="2" ma:contentTypeDescription="Create a new document." ma:contentTypeScope="" ma:versionID="d28d41e5cb7c45790b247f1b52defbbc">
  <xsd:schema xmlns:xsd="http://www.w3.org/2001/XMLSchema" xmlns:xs="http://www.w3.org/2001/XMLSchema" xmlns:p="http://schemas.microsoft.com/office/2006/metadata/properties" xmlns:ns3="19beb273-afdf-4cff-b67e-b3ff793b1d28" targetNamespace="http://schemas.microsoft.com/office/2006/metadata/properties" ma:root="true" ma:fieldsID="93e675a0b3d93118529742b8b7104744" ns3:_="">
    <xsd:import namespace="19beb273-afdf-4cff-b67e-b3ff793b1d2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eb273-afdf-4cff-b67e-b3ff793b1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813F1-0CE6-447A-8C4E-E7B9F6F1A98F}">
  <ds:schemaRefs>
    <ds:schemaRef ds:uri="http://schemas.microsoft.com/sharepoint/v3/contenttype/forms"/>
  </ds:schemaRefs>
</ds:datastoreItem>
</file>

<file path=customXml/itemProps2.xml><?xml version="1.0" encoding="utf-8"?>
<ds:datastoreItem xmlns:ds="http://schemas.openxmlformats.org/officeDocument/2006/customXml" ds:itemID="{F4DAA61E-3015-47A7-B71C-B37183ABC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eb273-afdf-4cff-b67e-b3ff793b1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4A002-8A0A-4C03-8C2A-4FFD0D3921CB}">
  <ds:schemaRefs>
    <ds:schemaRef ds:uri="http://schemas.openxmlformats.org/officeDocument/2006/bibliography"/>
  </ds:schemaRefs>
</ds:datastoreItem>
</file>

<file path=customXml/itemProps4.xml><?xml version="1.0" encoding="utf-8"?>
<ds:datastoreItem xmlns:ds="http://schemas.openxmlformats.org/officeDocument/2006/customXml" ds:itemID="{AA76F552-1D62-4E31-8575-15876ED028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2310</Words>
  <Characters>12964</Characters>
  <Application>Microsoft Office Word</Application>
  <DocSecurity>0</DocSecurity>
  <Lines>381</Lines>
  <Paragraphs>200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Thomas</dc:creator>
  <dc:description/>
  <cp:lastModifiedBy>Louise Woollard</cp:lastModifiedBy>
  <cp:revision>39</cp:revision>
  <cp:lastPrinted>2024-05-03T14:32:00Z</cp:lastPrinted>
  <dcterms:created xsi:type="dcterms:W3CDTF">2024-05-01T10:47:00Z</dcterms:created>
  <dcterms:modified xsi:type="dcterms:W3CDTF">2024-09-27T17:08:00Z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0x01010062E1FAFD2BBFB84DAD51F89C4AD4124B</vt:lpwstr>
  </property>
</Properties>
</file>