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624"/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871"/>
      </w:tblGrid>
      <w:tr w:rsidR="00C35987" w14:paraId="1E99CC2F" w14:textId="77777777" w:rsidTr="000C7E4C">
        <w:trPr>
          <w:cantSplit/>
          <w:trHeight w:val="2610"/>
        </w:trPr>
        <w:tc>
          <w:tcPr>
            <w:tcW w:w="9871" w:type="dxa"/>
          </w:tcPr>
          <w:p w14:paraId="25088E04" w14:textId="77777777" w:rsidR="00897F65" w:rsidRPr="000C7E4C" w:rsidRDefault="00897F65" w:rsidP="000C7E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3CFF67" w14:textId="6DF00E3A" w:rsidR="00C35987" w:rsidRPr="00897F65" w:rsidRDefault="000C7E4C" w:rsidP="000C7E4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D47D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507F9B5" wp14:editId="5E036E37">
                  <wp:simplePos x="0" y="0"/>
                  <wp:positionH relativeFrom="column">
                    <wp:posOffset>4455160</wp:posOffset>
                  </wp:positionH>
                  <wp:positionV relativeFrom="paragraph">
                    <wp:posOffset>194310</wp:posOffset>
                  </wp:positionV>
                  <wp:extent cx="1562100" cy="981075"/>
                  <wp:effectExtent l="0" t="0" r="0" b="9525"/>
                  <wp:wrapTight wrapText="bothSides">
                    <wp:wrapPolygon edited="0">
                      <wp:start x="0" y="0"/>
                      <wp:lineTo x="0" y="21390"/>
                      <wp:lineTo x="21337" y="21390"/>
                      <wp:lineTo x="21337" y="0"/>
                      <wp:lineTo x="0" y="0"/>
                    </wp:wrapPolygon>
                  </wp:wrapTight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675C">
              <w:rPr>
                <w:rFonts w:asciiTheme="majorHAnsi" w:hAnsiTheme="majorHAnsi"/>
                <w:b/>
                <w:color w:val="1F497D" w:themeColor="text2"/>
                <w:sz w:val="28"/>
                <w:szCs w:val="28"/>
              </w:rPr>
              <w:t>Libraries and Collections Donations Policy</w:t>
            </w:r>
          </w:p>
          <w:p w14:paraId="431EE4FD" w14:textId="4F5544B7" w:rsidR="00C35987" w:rsidRDefault="00C35987" w:rsidP="000C7E4C">
            <w:pPr>
              <w:tabs>
                <w:tab w:val="left" w:pos="4320"/>
              </w:tabs>
              <w:rPr>
                <w:color w:val="1F497D" w:themeColor="text2"/>
              </w:rPr>
            </w:pPr>
          </w:p>
          <w:p w14:paraId="13439E32" w14:textId="601370C7" w:rsidR="00C35987" w:rsidRPr="00C35987" w:rsidRDefault="00C35987" w:rsidP="000C7E4C">
            <w:pPr>
              <w:tabs>
                <w:tab w:val="left" w:pos="1980"/>
              </w:tabs>
              <w:rPr>
                <w:color w:val="1F497D" w:themeColor="text2"/>
              </w:rPr>
            </w:pPr>
            <w:r w:rsidRPr="00C35987">
              <w:rPr>
                <w:color w:val="1F497D" w:themeColor="text2"/>
              </w:rPr>
              <w:t>Effective Date:</w:t>
            </w:r>
            <w:r w:rsidR="00300E29">
              <w:rPr>
                <w:color w:val="1F497D" w:themeColor="text2"/>
              </w:rPr>
              <w:t xml:space="preserve"> </w:t>
            </w:r>
            <w:r w:rsidR="007B3713">
              <w:rPr>
                <w:color w:val="1F497D" w:themeColor="text2"/>
              </w:rPr>
              <w:t>December 2024</w:t>
            </w:r>
          </w:p>
          <w:p w14:paraId="60D70538" w14:textId="4B280783" w:rsidR="00295E5A" w:rsidRPr="00940A50" w:rsidRDefault="00925C31" w:rsidP="000C7E4C">
            <w:pPr>
              <w:tabs>
                <w:tab w:val="left" w:pos="1980"/>
              </w:tabs>
              <w:rPr>
                <w:color w:val="1F497D" w:themeColor="text2"/>
                <w:sz w:val="16"/>
                <w:szCs w:val="16"/>
              </w:rPr>
            </w:pPr>
            <w:r>
              <w:rPr>
                <w:color w:val="1F497D" w:themeColor="text2"/>
              </w:rPr>
              <w:t xml:space="preserve">Review Date: </w:t>
            </w:r>
            <w:r w:rsidR="00B64038">
              <w:rPr>
                <w:color w:val="1F497D" w:themeColor="text2"/>
              </w:rPr>
              <w:t>December 2025</w:t>
            </w:r>
          </w:p>
          <w:p w14:paraId="33F023CA" w14:textId="03E374CC" w:rsidR="00C35987" w:rsidRDefault="00CE436F" w:rsidP="000C7E4C">
            <w:pPr>
              <w:tabs>
                <w:tab w:val="left" w:pos="1980"/>
              </w:tabs>
            </w:pPr>
            <w:r>
              <w:rPr>
                <w:color w:val="1F497D" w:themeColor="text2"/>
              </w:rPr>
              <w:t xml:space="preserve">Approval Body: </w:t>
            </w:r>
            <w:r w:rsidR="00B64038">
              <w:rPr>
                <w:color w:val="1F497D" w:themeColor="text2"/>
              </w:rPr>
              <w:t>Library Leadership Team</w:t>
            </w:r>
          </w:p>
        </w:tc>
      </w:tr>
      <w:tr w:rsidR="00C35987" w14:paraId="2193F78B" w14:textId="77777777" w:rsidTr="000C7E4C">
        <w:trPr>
          <w:cantSplit/>
          <w:trHeight w:val="900"/>
        </w:trPr>
        <w:tc>
          <w:tcPr>
            <w:tcW w:w="9871" w:type="dxa"/>
          </w:tcPr>
          <w:p w14:paraId="0D3AEBB6" w14:textId="6B3C87EF" w:rsidR="00C35987" w:rsidRDefault="008A5B5B" w:rsidP="000C7E4C">
            <w:pPr>
              <w:tabs>
                <w:tab w:val="left" w:pos="1980"/>
              </w:tabs>
              <w:rPr>
                <w:color w:val="1F497D" w:themeColor="text2"/>
              </w:rPr>
            </w:pPr>
            <w:r>
              <w:rPr>
                <w:b/>
                <w:color w:val="1F497D" w:themeColor="text2"/>
              </w:rPr>
              <w:t>Policy Owner</w:t>
            </w:r>
            <w:r w:rsidR="00C35987" w:rsidRPr="0098707B">
              <w:rPr>
                <w:color w:val="1F497D" w:themeColor="text2"/>
              </w:rPr>
              <w:t>:</w:t>
            </w:r>
            <w:r w:rsidR="00C35987" w:rsidRPr="0098707B">
              <w:rPr>
                <w:rFonts w:asciiTheme="minorHAnsi" w:hAnsiTheme="minorHAnsi"/>
                <w:color w:val="1F497D" w:themeColor="text2"/>
                <w:sz w:val="28"/>
                <w:szCs w:val="28"/>
              </w:rPr>
              <w:t xml:space="preserve"> </w:t>
            </w:r>
            <w:r w:rsidR="00B64038">
              <w:rPr>
                <w:color w:val="1F497D" w:themeColor="text2"/>
              </w:rPr>
              <w:t>Libraries and Collections</w:t>
            </w:r>
          </w:p>
          <w:p w14:paraId="28716748" w14:textId="6E06EE10" w:rsidR="001C2117" w:rsidRPr="0098707B" w:rsidRDefault="001C2117" w:rsidP="000C7E4C">
            <w:pPr>
              <w:tabs>
                <w:tab w:val="left" w:pos="1980"/>
              </w:tabs>
              <w:rPr>
                <w:rFonts w:asciiTheme="majorHAnsi" w:hAnsiTheme="majorHAnsi"/>
              </w:rPr>
            </w:pPr>
            <w:r>
              <w:rPr>
                <w:b/>
                <w:color w:val="1F497D" w:themeColor="text2"/>
              </w:rPr>
              <w:t xml:space="preserve">Policy </w:t>
            </w:r>
            <w:r w:rsidR="00CE436F">
              <w:rPr>
                <w:b/>
                <w:color w:val="1F497D" w:themeColor="text2"/>
              </w:rPr>
              <w:t>Author</w:t>
            </w:r>
            <w:r w:rsidRPr="0098707B">
              <w:rPr>
                <w:color w:val="1F497D" w:themeColor="text2"/>
              </w:rPr>
              <w:t>:</w:t>
            </w:r>
            <w:r w:rsidRPr="004160B8">
              <w:rPr>
                <w:color w:val="1F497D" w:themeColor="text2"/>
              </w:rPr>
              <w:t xml:space="preserve"> </w:t>
            </w:r>
            <w:r w:rsidR="00B64038">
              <w:rPr>
                <w:color w:val="1F497D" w:themeColor="text2"/>
              </w:rPr>
              <w:t>Annette Linton</w:t>
            </w:r>
            <w:r w:rsidR="00C736E6">
              <w:rPr>
                <w:color w:val="1F497D" w:themeColor="text2"/>
              </w:rPr>
              <w:t xml:space="preserve">, Head of </w:t>
            </w:r>
            <w:r w:rsidR="00312524">
              <w:rPr>
                <w:color w:val="1F497D" w:themeColor="text2"/>
              </w:rPr>
              <w:t>Library</w:t>
            </w:r>
            <w:r w:rsidR="00C736E6">
              <w:rPr>
                <w:color w:val="1F497D" w:themeColor="text2"/>
              </w:rPr>
              <w:t xml:space="preserve"> </w:t>
            </w:r>
            <w:r w:rsidR="00312524">
              <w:rPr>
                <w:color w:val="1F497D" w:themeColor="text2"/>
              </w:rPr>
              <w:t>Content</w:t>
            </w:r>
            <w:r w:rsidR="00C736E6">
              <w:rPr>
                <w:color w:val="1F497D" w:themeColor="text2"/>
              </w:rPr>
              <w:t xml:space="preserve"> &amp; </w:t>
            </w:r>
            <w:r w:rsidR="00312524">
              <w:rPr>
                <w:color w:val="1F497D" w:themeColor="text2"/>
              </w:rPr>
              <w:t>Scholarly</w:t>
            </w:r>
            <w:r w:rsidR="00C736E6">
              <w:rPr>
                <w:color w:val="1F497D" w:themeColor="text2"/>
              </w:rPr>
              <w:t xml:space="preserve"> Communications, a.m.linton@swansea.ac.uk</w:t>
            </w:r>
          </w:p>
        </w:tc>
      </w:tr>
    </w:tbl>
    <w:p w14:paraId="393529C6" w14:textId="77777777" w:rsidR="00667203" w:rsidRDefault="00667203" w:rsidP="007F0F16"/>
    <w:p w14:paraId="7FB98F9A" w14:textId="77777777" w:rsidR="007F0F16" w:rsidRDefault="007F0F16" w:rsidP="007F0F16"/>
    <w:p w14:paraId="2BB92EE2" w14:textId="77777777" w:rsidR="007F0F16" w:rsidRDefault="007F0F16" w:rsidP="007F0F16"/>
    <w:p w14:paraId="448C66CA" w14:textId="52950031" w:rsidR="000C7E4C" w:rsidRPr="000C7E4C" w:rsidRDefault="00C21C0E" w:rsidP="000C7E4C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Background / Summary</w:t>
      </w:r>
    </w:p>
    <w:p w14:paraId="36719B7B" w14:textId="6568452F" w:rsidR="00ED51F9" w:rsidRDefault="00ED51F9" w:rsidP="00ED51F9">
      <w:pPr>
        <w:ind w:left="360"/>
      </w:pPr>
      <w:r>
        <w:t xml:space="preserve">Libraries and Collections periodically receive offers to donate books and other materials to </w:t>
      </w:r>
      <w:r>
        <w:t>add to their</w:t>
      </w:r>
      <w:r>
        <w:t xml:space="preserve"> collections.  </w:t>
      </w:r>
      <w:r w:rsidRPr="007E68A2">
        <w:t xml:space="preserve">Individual offers of donations fall into two categories - small donations of less </w:t>
      </w:r>
      <w:r w:rsidRPr="007E68A2">
        <w:t>than</w:t>
      </w:r>
      <w:r w:rsidRPr="007E68A2">
        <w:t xml:space="preserve"> </w:t>
      </w:r>
      <w:r>
        <w:t>five</w:t>
      </w:r>
      <w:r w:rsidRPr="007E68A2">
        <w:t xml:space="preserve"> items or large donations of substantial collection of material and can include a mixture of formats.</w:t>
      </w:r>
      <w:r>
        <w:t xml:space="preserve">  While these offers are appreciated, there are associated hidden costs such as storage and shelving space, staffing costs related to stewardship and cataloguing and other lifecycle costs.  As a </w:t>
      </w:r>
      <w:r>
        <w:t>result,</w:t>
      </w:r>
      <w:r>
        <w:t xml:space="preserve"> it is not always possible to accept offers of donations.</w:t>
      </w:r>
    </w:p>
    <w:p w14:paraId="3F668C22" w14:textId="77777777" w:rsidR="00ED51F9" w:rsidRDefault="00ED51F9" w:rsidP="00ED51F9"/>
    <w:p w14:paraId="5C1AD502" w14:textId="77777777" w:rsidR="00ED51F9" w:rsidRDefault="00ED51F9" w:rsidP="00ED51F9">
      <w:pPr>
        <w:tabs>
          <w:tab w:val="right" w:pos="9026"/>
        </w:tabs>
        <w:ind w:left="360"/>
      </w:pPr>
      <w:r>
        <w:t>The Libraries and Collections Donations Policy operates in conjunction with the Collection Management and Development Policy and outlines the procedure and criteria used as part of its decision-making in relation to donations.  The policy applies to all forms of donations regardless of the number of items offered or the nature of material included.</w:t>
      </w:r>
    </w:p>
    <w:p w14:paraId="59501E4F" w14:textId="217E76B0" w:rsidR="00CA381C" w:rsidRPr="00EA20F8" w:rsidRDefault="00CA381C" w:rsidP="004F3E87"/>
    <w:p w14:paraId="19BB4D84" w14:textId="77777777" w:rsidR="00C21C0E" w:rsidRPr="00866225" w:rsidRDefault="00C21C0E" w:rsidP="00C21C0E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6225">
        <w:rPr>
          <w:rFonts w:asciiTheme="majorHAnsi" w:hAnsiTheme="majorHAnsi"/>
          <w:sz w:val="28"/>
          <w:szCs w:val="28"/>
        </w:rPr>
        <w:t>Scope</w:t>
      </w:r>
      <w:r>
        <w:rPr>
          <w:rFonts w:asciiTheme="majorHAnsi" w:hAnsiTheme="majorHAnsi"/>
          <w:sz w:val="28"/>
          <w:szCs w:val="28"/>
        </w:rPr>
        <w:t xml:space="preserve"> / Exemptions</w:t>
      </w:r>
    </w:p>
    <w:p w14:paraId="41997E8B" w14:textId="1BECEA82" w:rsidR="00C21C0E" w:rsidRPr="00EA20F8" w:rsidRDefault="008B0E34" w:rsidP="00C21C0E">
      <w:pPr>
        <w:keepNext/>
        <w:autoSpaceDE w:val="0"/>
        <w:autoSpaceDN w:val="0"/>
        <w:adjustRightInd w:val="0"/>
        <w:ind w:left="360"/>
        <w:rPr>
          <w:color w:val="000000"/>
        </w:rPr>
      </w:pPr>
      <w:r>
        <w:rPr>
          <w:color w:val="000000"/>
        </w:rPr>
        <w:t xml:space="preserve">This policy applies to all </w:t>
      </w:r>
      <w:r w:rsidR="0003489E">
        <w:rPr>
          <w:color w:val="000000"/>
        </w:rPr>
        <w:t>donation offers made to Libraries and Collections.</w:t>
      </w:r>
    </w:p>
    <w:p w14:paraId="5D0ABD1F" w14:textId="77777777" w:rsidR="00C21C0E" w:rsidRPr="00866225" w:rsidRDefault="00C21C0E" w:rsidP="004F3E87"/>
    <w:p w14:paraId="77C401AF" w14:textId="77777777" w:rsidR="00FE03C1" w:rsidRPr="00866225" w:rsidRDefault="00FE03C1" w:rsidP="00FE03C1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6225">
        <w:rPr>
          <w:rFonts w:asciiTheme="majorHAnsi" w:hAnsiTheme="majorHAnsi"/>
          <w:sz w:val="28"/>
          <w:szCs w:val="28"/>
        </w:rPr>
        <w:t>Policy Statement</w:t>
      </w:r>
    </w:p>
    <w:p w14:paraId="2D26A4E0" w14:textId="77777777" w:rsidR="00386E0D" w:rsidRDefault="00386E0D" w:rsidP="006925D8">
      <w:pPr>
        <w:tabs>
          <w:tab w:val="right" w:pos="9026"/>
        </w:tabs>
        <w:rPr>
          <w:b/>
          <w:bCs/>
        </w:rPr>
      </w:pPr>
    </w:p>
    <w:p w14:paraId="4251725F" w14:textId="6AED5018" w:rsidR="006925D8" w:rsidRPr="00394008" w:rsidRDefault="006925D8" w:rsidP="00394008">
      <w:pPr>
        <w:tabs>
          <w:tab w:val="right" w:pos="9026"/>
        </w:tabs>
        <w:ind w:left="360"/>
        <w:rPr>
          <w:b/>
          <w:bCs/>
          <w:sz w:val="28"/>
          <w:szCs w:val="28"/>
        </w:rPr>
      </w:pPr>
      <w:r w:rsidRPr="00394008">
        <w:rPr>
          <w:b/>
          <w:bCs/>
          <w:sz w:val="28"/>
          <w:szCs w:val="28"/>
        </w:rPr>
        <w:t>How to offer a donation of items</w:t>
      </w:r>
    </w:p>
    <w:p w14:paraId="499D7CAE" w14:textId="77777777" w:rsidR="006925D8" w:rsidRDefault="006925D8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t xml:space="preserve">Anyone wishing to donate items to Libraries and Collections should first make an approach by e-mailing </w:t>
      </w:r>
      <w:hyperlink r:id="rId12" w:history="1">
        <w:r w:rsidRPr="006E6900">
          <w:rPr>
            <w:rStyle w:val="Hyperlink"/>
          </w:rPr>
          <w:t>myunilibrary@swansea.ac.uk</w:t>
        </w:r>
      </w:hyperlink>
      <w:r>
        <w:t xml:space="preserve"> providing details of the proposed donation including an inventory of items being </w:t>
      </w:r>
      <w:r w:rsidRPr="003D61BF">
        <w:t>offered and a statement outlining why Swansea University is an appropriate location for the donation</w:t>
      </w:r>
      <w:r>
        <w:t xml:space="preserve">.  This will assist in the Libraries and Collections decision making </w:t>
      </w:r>
      <w:proofErr w:type="gramStart"/>
      <w:r>
        <w:t>as</w:t>
      </w:r>
      <w:proofErr w:type="gramEnd"/>
      <w:r>
        <w:t xml:space="preserve"> whether to accept or decline offer.</w:t>
      </w:r>
    </w:p>
    <w:p w14:paraId="39C4F4B4" w14:textId="77777777" w:rsidR="006925D8" w:rsidRDefault="006925D8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t>The inventory of items included in proposed donation including –</w:t>
      </w:r>
    </w:p>
    <w:p w14:paraId="53EC80E5" w14:textId="77777777" w:rsidR="006925D8" w:rsidRDefault="006925D8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t>Author</w:t>
      </w:r>
    </w:p>
    <w:p w14:paraId="3319B36C" w14:textId="77777777" w:rsidR="006925D8" w:rsidRDefault="006925D8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lastRenderedPageBreak/>
        <w:t>Title</w:t>
      </w:r>
    </w:p>
    <w:p w14:paraId="7C051517" w14:textId="77777777" w:rsidR="006925D8" w:rsidRDefault="006925D8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t>Edition</w:t>
      </w:r>
    </w:p>
    <w:p w14:paraId="6A0711E8" w14:textId="77777777" w:rsidR="006925D8" w:rsidRDefault="006925D8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t>Publisher</w:t>
      </w:r>
    </w:p>
    <w:p w14:paraId="2C46E98B" w14:textId="77777777" w:rsidR="006925D8" w:rsidRDefault="006925D8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t>Year of publication</w:t>
      </w:r>
    </w:p>
    <w:p w14:paraId="377A416E" w14:textId="77777777" w:rsidR="006925D8" w:rsidRDefault="006925D8" w:rsidP="00394008">
      <w:pPr>
        <w:pStyle w:val="ListParagraph"/>
        <w:numPr>
          <w:ilvl w:val="1"/>
          <w:numId w:val="33"/>
        </w:numPr>
        <w:tabs>
          <w:tab w:val="right" w:pos="9026"/>
        </w:tabs>
        <w:spacing w:after="160" w:line="278" w:lineRule="auto"/>
        <w:ind w:left="1440"/>
      </w:pPr>
      <w:r>
        <w:t>ISBN/ISSN (if available)</w:t>
      </w:r>
    </w:p>
    <w:p w14:paraId="682CDAD2" w14:textId="77777777" w:rsidR="006925D8" w:rsidRDefault="006925D8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t>If the donation is agreed in principle, the donor must complete and sign a deposit agreement form.</w:t>
      </w:r>
    </w:p>
    <w:p w14:paraId="1F98C2F6" w14:textId="77777777" w:rsidR="004F3E87" w:rsidRDefault="004F3E87" w:rsidP="004F3E87">
      <w:pPr>
        <w:tabs>
          <w:tab w:val="right" w:pos="9026"/>
        </w:tabs>
        <w:spacing w:after="160" w:line="278" w:lineRule="auto"/>
        <w:ind w:left="360"/>
      </w:pPr>
    </w:p>
    <w:p w14:paraId="47F8D6B4" w14:textId="3521F3F2" w:rsidR="00C369A9" w:rsidRPr="00394008" w:rsidRDefault="00C369A9" w:rsidP="00394008">
      <w:pPr>
        <w:tabs>
          <w:tab w:val="right" w:pos="9026"/>
        </w:tabs>
        <w:ind w:left="360"/>
        <w:rPr>
          <w:b/>
          <w:bCs/>
          <w:sz w:val="28"/>
          <w:szCs w:val="28"/>
        </w:rPr>
      </w:pPr>
      <w:r w:rsidRPr="00394008">
        <w:rPr>
          <w:b/>
          <w:bCs/>
          <w:sz w:val="28"/>
          <w:szCs w:val="28"/>
        </w:rPr>
        <w:t>Acceptance of donations – criteria</w:t>
      </w:r>
    </w:p>
    <w:p w14:paraId="30519367" w14:textId="77777777" w:rsidR="00C369A9" w:rsidRDefault="00C369A9" w:rsidP="00394008">
      <w:pPr>
        <w:tabs>
          <w:tab w:val="right" w:pos="9026"/>
        </w:tabs>
        <w:ind w:left="360"/>
      </w:pPr>
      <w:r>
        <w:t>Libraries and Collections will consider all offers of donations received and decide on whether to accept or reject using the following criteria –</w:t>
      </w:r>
    </w:p>
    <w:p w14:paraId="3581870B" w14:textId="4490B25B" w:rsidR="00FE03C1" w:rsidRDefault="00FE03C1" w:rsidP="00394008">
      <w:pPr>
        <w:keepNext/>
        <w:autoSpaceDE w:val="0"/>
        <w:autoSpaceDN w:val="0"/>
        <w:adjustRightInd w:val="0"/>
        <w:ind w:left="720"/>
        <w:rPr>
          <w:color w:val="000000"/>
        </w:rPr>
      </w:pPr>
    </w:p>
    <w:p w14:paraId="7DA408E6" w14:textId="77777777" w:rsidR="006738BD" w:rsidRDefault="006738BD" w:rsidP="00394008">
      <w:pPr>
        <w:tabs>
          <w:tab w:val="right" w:pos="9026"/>
        </w:tabs>
        <w:ind w:left="360"/>
      </w:pPr>
    </w:p>
    <w:p w14:paraId="18F6665A" w14:textId="77777777" w:rsidR="006738BD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t>Items offered must be relevant to current teaching, learning and research activities or other collection development priorities.</w:t>
      </w:r>
    </w:p>
    <w:p w14:paraId="3FC15BD8" w14:textId="77777777" w:rsidR="006738BD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t xml:space="preserve">Items should not be duplicates of items already in stock unless it is a title in high demand and </w:t>
      </w:r>
      <w:r w:rsidRPr="006F7419">
        <w:t xml:space="preserve">usage justifies </w:t>
      </w:r>
      <w:r>
        <w:t xml:space="preserve">its acceptance.  This includes print editions of items where e-book titles </w:t>
      </w:r>
      <w:proofErr w:type="gramStart"/>
      <w:r>
        <w:t>already</w:t>
      </w:r>
      <w:proofErr w:type="gramEnd"/>
      <w:r>
        <w:t xml:space="preserve"> purchased.</w:t>
      </w:r>
    </w:p>
    <w:p w14:paraId="77ED3C71" w14:textId="77777777" w:rsidR="006738BD" w:rsidRPr="003D61BF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 w:rsidRPr="003D61BF">
        <w:t>Items must be in good physical condition unless there is an archival interest.</w:t>
      </w:r>
    </w:p>
    <w:p w14:paraId="6334A61F" w14:textId="77777777" w:rsidR="006738BD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t xml:space="preserve">Language of publication with English language </w:t>
      </w:r>
      <w:proofErr w:type="spellStart"/>
      <w:r>
        <w:t>prioritised</w:t>
      </w:r>
      <w:proofErr w:type="spellEnd"/>
      <w:r>
        <w:t xml:space="preserve"> for most subjects.</w:t>
      </w:r>
    </w:p>
    <w:p w14:paraId="75D5E2D4" w14:textId="77777777" w:rsidR="006738BD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 w:rsidRPr="008A54E1">
        <w:t>Print journal volumes or issues</w:t>
      </w:r>
      <w:r>
        <w:t xml:space="preserve"> unless the proposed donation would complete gaps in existing </w:t>
      </w:r>
      <w:r w:rsidRPr="007B7FBB">
        <w:rPr>
          <w:u w:val="single"/>
        </w:rPr>
        <w:t>print only</w:t>
      </w:r>
      <w:r>
        <w:t xml:space="preserve"> journal holdings.</w:t>
      </w:r>
    </w:p>
    <w:p w14:paraId="296BCA9D" w14:textId="77777777" w:rsidR="006738BD" w:rsidRPr="0048613A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17"/>
        <w:rPr>
          <w:rStyle w:val="Hyperlink"/>
        </w:rPr>
      </w:pPr>
      <w:r>
        <w:t xml:space="preserve">Items considered to be of special collections interest such as pre-1860 items, first editions, items linked to existing special collection strengths.  For further information please see </w:t>
      </w:r>
      <w:hyperlink r:id="rId13" w:history="1">
        <w:r w:rsidRPr="00673303">
          <w:rPr>
            <w:rStyle w:val="Hyperlink"/>
          </w:rPr>
          <w:t>https://www.swansea.ac.uk/library/archive-and-research-collections/</w:t>
        </w:r>
      </w:hyperlink>
    </w:p>
    <w:p w14:paraId="2748BC95" w14:textId="77777777" w:rsidR="006738BD" w:rsidRDefault="006738BD" w:rsidP="00394008">
      <w:pPr>
        <w:tabs>
          <w:tab w:val="right" w:pos="9026"/>
        </w:tabs>
        <w:ind w:left="360"/>
      </w:pPr>
    </w:p>
    <w:p w14:paraId="2C7767E9" w14:textId="77777777" w:rsidR="006738BD" w:rsidRDefault="006738BD" w:rsidP="00394008">
      <w:pPr>
        <w:tabs>
          <w:tab w:val="right" w:pos="9026"/>
        </w:tabs>
        <w:ind w:left="360"/>
      </w:pPr>
      <w:r>
        <w:t>Unless there is an archival interest, Libraries and Collections will not consider -</w:t>
      </w:r>
    </w:p>
    <w:p w14:paraId="7BDA2FEE" w14:textId="77777777" w:rsidR="006738BD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t xml:space="preserve">Items requiring old or obsolete technology (for example, audio cassettes or videos). </w:t>
      </w:r>
    </w:p>
    <w:p w14:paraId="7C6DB8F0" w14:textId="77777777" w:rsidR="006738BD" w:rsidRPr="007342F1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 w:rsidRPr="007342F1">
        <w:t>Ephemera such as newspapers or grey literature.</w:t>
      </w:r>
    </w:p>
    <w:p w14:paraId="185CDC94" w14:textId="77777777" w:rsidR="006738BD" w:rsidRPr="007342F1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 w:rsidRPr="007342F1">
        <w:t>Unpublished materials such as offprints of articles, photocopies,</w:t>
      </w:r>
      <w:r>
        <w:t xml:space="preserve"> and ma</w:t>
      </w:r>
      <w:r w:rsidRPr="007342F1">
        <w:t>nuscripts</w:t>
      </w:r>
      <w:r>
        <w:t>.</w:t>
      </w:r>
    </w:p>
    <w:p w14:paraId="3D86EA50" w14:textId="77777777" w:rsidR="006738BD" w:rsidRDefault="006738BD" w:rsidP="00394008">
      <w:pPr>
        <w:tabs>
          <w:tab w:val="right" w:pos="9026"/>
        </w:tabs>
        <w:ind w:left="363"/>
      </w:pPr>
    </w:p>
    <w:p w14:paraId="7BD7E303" w14:textId="77777777" w:rsidR="006738BD" w:rsidRDefault="006738BD" w:rsidP="00394008">
      <w:pPr>
        <w:tabs>
          <w:tab w:val="right" w:pos="9026"/>
        </w:tabs>
        <w:ind w:left="363"/>
      </w:pPr>
      <w:r>
        <w:t>Other considerations applied to all donation offers -</w:t>
      </w:r>
    </w:p>
    <w:p w14:paraId="242CF622" w14:textId="77777777" w:rsidR="006738BD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t xml:space="preserve">Anticipated costs </w:t>
      </w:r>
      <w:r w:rsidRPr="00FF36FD">
        <w:t xml:space="preserve">associated with </w:t>
      </w:r>
      <w:r>
        <w:t xml:space="preserve">the </w:t>
      </w:r>
      <w:r w:rsidRPr="00FF36FD">
        <w:t>cataloguing, processing, stock circulation and long-term storage</w:t>
      </w:r>
      <w:r>
        <w:t xml:space="preserve"> of proposed donations</w:t>
      </w:r>
      <w:r w:rsidRPr="00FF36FD">
        <w:t>.</w:t>
      </w:r>
    </w:p>
    <w:p w14:paraId="6BEB3C8F" w14:textId="77777777" w:rsidR="006738BD" w:rsidRDefault="006738BD" w:rsidP="00394008">
      <w:pPr>
        <w:pStyle w:val="ListParagraph"/>
        <w:numPr>
          <w:ilvl w:val="0"/>
          <w:numId w:val="34"/>
        </w:numPr>
        <w:tabs>
          <w:tab w:val="right" w:pos="9026"/>
        </w:tabs>
        <w:spacing w:after="160" w:line="278" w:lineRule="auto"/>
        <w:ind w:left="720"/>
      </w:pPr>
      <w:r>
        <w:t>Substantial donations where resources cannot be identified for subsequent cataloguing and processing.</w:t>
      </w:r>
    </w:p>
    <w:p w14:paraId="3A7F1B5B" w14:textId="77777777" w:rsidR="006738BD" w:rsidRDefault="006738BD" w:rsidP="00394008">
      <w:pPr>
        <w:tabs>
          <w:tab w:val="right" w:pos="9026"/>
        </w:tabs>
        <w:ind w:left="360"/>
      </w:pPr>
    </w:p>
    <w:p w14:paraId="394950FE" w14:textId="77777777" w:rsidR="006738BD" w:rsidRPr="00394008" w:rsidRDefault="006738BD" w:rsidP="00394008">
      <w:pPr>
        <w:tabs>
          <w:tab w:val="right" w:pos="9026"/>
        </w:tabs>
        <w:ind w:left="360"/>
        <w:rPr>
          <w:b/>
          <w:bCs/>
          <w:sz w:val="28"/>
          <w:szCs w:val="28"/>
        </w:rPr>
      </w:pPr>
      <w:r w:rsidRPr="00394008">
        <w:rPr>
          <w:b/>
          <w:bCs/>
          <w:sz w:val="28"/>
          <w:szCs w:val="28"/>
        </w:rPr>
        <w:t>Conditions of acceptance</w:t>
      </w:r>
    </w:p>
    <w:p w14:paraId="4CB4FF6F" w14:textId="77777777" w:rsidR="006738BD" w:rsidRDefault="006738BD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 w:rsidRPr="007776EB">
        <w:t xml:space="preserve">Libraries and Collections </w:t>
      </w:r>
      <w:r>
        <w:t>reserve the right to accept or refuse prospective donations.</w:t>
      </w:r>
    </w:p>
    <w:p w14:paraId="56B81306" w14:textId="4E13FC9D" w:rsidR="006738BD" w:rsidRDefault="006738BD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t xml:space="preserve">We will be unable to </w:t>
      </w:r>
      <w:r w:rsidR="00386E0D">
        <w:t>assess</w:t>
      </w:r>
      <w:r>
        <w:t xml:space="preserve"> donation</w:t>
      </w:r>
      <w:r w:rsidR="00386E0D">
        <w:t xml:space="preserve"> offer</w:t>
      </w:r>
      <w:r>
        <w:t>s unless the donor provides a full inventory of items</w:t>
      </w:r>
      <w:r w:rsidR="00386E0D">
        <w:t xml:space="preserve">.  </w:t>
      </w:r>
      <w:r>
        <w:t>Failure to provide an inventory will result in the offer being declined.</w:t>
      </w:r>
    </w:p>
    <w:p w14:paraId="6EBEB4E1" w14:textId="77777777" w:rsidR="006738BD" w:rsidRDefault="006738BD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t>We cannot accept any conditions associated with a donation relating to usage, storage or retention of materials.</w:t>
      </w:r>
    </w:p>
    <w:p w14:paraId="252E0491" w14:textId="77777777" w:rsidR="006738BD" w:rsidRDefault="006738BD" w:rsidP="00394008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  <w:ind w:left="720"/>
      </w:pPr>
      <w:r>
        <w:t>Donations are accepted on the basis that ownership is transferred and that the donated items become the property of Swansea University.</w:t>
      </w:r>
    </w:p>
    <w:p w14:paraId="7171E6A5" w14:textId="77777777" w:rsidR="006738BD" w:rsidRPr="001E40FA" w:rsidRDefault="006738BD" w:rsidP="006738BD">
      <w:pPr>
        <w:pStyle w:val="ListParagraph"/>
        <w:numPr>
          <w:ilvl w:val="0"/>
          <w:numId w:val="33"/>
        </w:numPr>
        <w:tabs>
          <w:tab w:val="right" w:pos="9026"/>
        </w:tabs>
        <w:spacing w:after="160" w:line="278" w:lineRule="auto"/>
      </w:pPr>
      <w:r>
        <w:lastRenderedPageBreak/>
        <w:t>We</w:t>
      </w:r>
      <w:r w:rsidRPr="001E40FA">
        <w:t xml:space="preserve"> may at</w:t>
      </w:r>
      <w:r>
        <w:t xml:space="preserve"> our</w:t>
      </w:r>
      <w:r w:rsidRPr="001E40FA">
        <w:t xml:space="preserve"> discretion dispose of donated material in accordance with its collection management and development policy.  The disposal of any donated items will be carried out ethically using existing disposal routes.</w:t>
      </w:r>
    </w:p>
    <w:p w14:paraId="39AA3C15" w14:textId="77777777" w:rsidR="006738BD" w:rsidRDefault="006738BD" w:rsidP="006738BD">
      <w:pPr>
        <w:pStyle w:val="ListParagraph"/>
        <w:numPr>
          <w:ilvl w:val="0"/>
          <w:numId w:val="33"/>
        </w:numPr>
        <w:spacing w:after="160" w:line="278" w:lineRule="auto"/>
      </w:pPr>
      <w:r>
        <w:t>If a proposed donation is accepted in principle by Libraries and Collections, it is the responsibility of the donor to arrange and pay all associated transportation costs.</w:t>
      </w:r>
    </w:p>
    <w:p w14:paraId="34687E95" w14:textId="77777777" w:rsidR="00C369A9" w:rsidRDefault="00C369A9" w:rsidP="00FE03C1">
      <w:pPr>
        <w:keepNext/>
        <w:autoSpaceDE w:val="0"/>
        <w:autoSpaceDN w:val="0"/>
        <w:adjustRightInd w:val="0"/>
        <w:ind w:left="360"/>
        <w:rPr>
          <w:color w:val="000000"/>
        </w:rPr>
      </w:pPr>
    </w:p>
    <w:p w14:paraId="733244CB" w14:textId="77777777" w:rsidR="004B2217" w:rsidRPr="00866225" w:rsidRDefault="00CE436F" w:rsidP="007E1078">
      <w:pPr>
        <w:pStyle w:val="Heading1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Related Policies</w:t>
      </w:r>
    </w:p>
    <w:p w14:paraId="6A861CF3" w14:textId="77777777" w:rsidR="00DA5FC6" w:rsidRPr="00BD401A" w:rsidRDefault="00DA5FC6" w:rsidP="00DA5FC6">
      <w:pPr>
        <w:keepNext/>
        <w:autoSpaceDE w:val="0"/>
        <w:autoSpaceDN w:val="0"/>
        <w:adjustRightInd w:val="0"/>
        <w:ind w:left="360"/>
        <w:rPr>
          <w:color w:val="000000"/>
        </w:rPr>
      </w:pPr>
      <w:r w:rsidRPr="00BD401A">
        <w:rPr>
          <w:color w:val="000000"/>
        </w:rPr>
        <w:t>Links</w:t>
      </w:r>
      <w:r w:rsidR="009E6506" w:rsidRPr="00BD401A">
        <w:rPr>
          <w:color w:val="000000"/>
        </w:rPr>
        <w:t xml:space="preserve"> to any </w:t>
      </w:r>
      <w:r w:rsidR="00CE436F">
        <w:rPr>
          <w:color w:val="000000"/>
        </w:rPr>
        <w:t>related policies.</w:t>
      </w:r>
    </w:p>
    <w:tbl>
      <w:tblPr>
        <w:tblStyle w:val="ColorfulGrid-Accent1"/>
        <w:tblW w:w="0" w:type="auto"/>
        <w:tblInd w:w="468" w:type="dxa"/>
        <w:tblLayout w:type="fixed"/>
        <w:tblLook w:val="0400" w:firstRow="0" w:lastRow="0" w:firstColumn="0" w:lastColumn="0" w:noHBand="0" w:noVBand="1"/>
      </w:tblPr>
      <w:tblGrid>
        <w:gridCol w:w="3060"/>
        <w:gridCol w:w="6660"/>
      </w:tblGrid>
      <w:tr w:rsidR="00EE6BE5" w:rsidRPr="00866225" w14:paraId="57649520" w14:textId="77777777" w:rsidTr="00464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  <w:shd w:val="clear" w:color="auto" w:fill="548DD4" w:themeFill="text2" w:themeFillTint="99"/>
          </w:tcPr>
          <w:p w14:paraId="36118433" w14:textId="77777777" w:rsidR="00EE6BE5" w:rsidRPr="00866225" w:rsidRDefault="00EE6BE5" w:rsidP="00DF4938">
            <w:pPr>
              <w:keepNext/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>Title</w:t>
            </w:r>
          </w:p>
        </w:tc>
        <w:tc>
          <w:tcPr>
            <w:tcW w:w="6660" w:type="dxa"/>
            <w:shd w:val="clear" w:color="auto" w:fill="548DD4" w:themeFill="text2" w:themeFillTint="99"/>
          </w:tcPr>
          <w:p w14:paraId="59095DE9" w14:textId="77777777" w:rsidR="00EE6BE5" w:rsidRPr="00866225" w:rsidRDefault="00EE6BE5" w:rsidP="00DF4938">
            <w:pPr>
              <w:keepNext/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>Link</w:t>
            </w:r>
          </w:p>
        </w:tc>
      </w:tr>
      <w:tr w:rsidR="00EE6BE5" w:rsidRPr="00BD401A" w14:paraId="5748D3B4" w14:textId="77777777" w:rsidTr="00464ED9">
        <w:tc>
          <w:tcPr>
            <w:tcW w:w="3060" w:type="dxa"/>
          </w:tcPr>
          <w:p w14:paraId="48B9D287" w14:textId="5FA00D15" w:rsidR="00EE6BE5" w:rsidRPr="00BD401A" w:rsidRDefault="00394008" w:rsidP="00DF4938">
            <w:pPr>
              <w:rPr>
                <w:rFonts w:ascii="Cambria" w:eastAsia="Times New Roman" w:hAnsi="Cambria"/>
              </w:rPr>
            </w:pPr>
            <w:r w:rsidRPr="00394008">
              <w:rPr>
                <w:rFonts w:ascii="Cambria" w:eastAsia="Times New Roman" w:hAnsi="Cambria"/>
              </w:rPr>
              <w:t>Swansea University Library – Content Development and Management Policy</w:t>
            </w:r>
          </w:p>
        </w:tc>
        <w:tc>
          <w:tcPr>
            <w:tcW w:w="6660" w:type="dxa"/>
          </w:tcPr>
          <w:p w14:paraId="1BCE6015" w14:textId="2A26F4D7" w:rsidR="00EE6BE5" w:rsidRPr="00BD401A" w:rsidRDefault="000B1D31" w:rsidP="00DF4938">
            <w:pPr>
              <w:rPr>
                <w:rFonts w:ascii="Cambria" w:hAnsi="Cambria"/>
              </w:rPr>
            </w:pPr>
            <w:r w:rsidRPr="000B1D31">
              <w:rPr>
                <w:rFonts w:ascii="Cambria" w:hAnsi="Cambria"/>
              </w:rPr>
              <w:t>https://www.swansea.ac.uk/media/Swansea-University-Library-Content-Management-and-Development-policy-v1.0-final-2018-06-25.pdf</w:t>
            </w:r>
          </w:p>
        </w:tc>
      </w:tr>
      <w:tr w:rsidR="00EE6BE5" w:rsidRPr="00BD401A" w14:paraId="434A291C" w14:textId="77777777" w:rsidTr="00464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</w:tcPr>
          <w:p w14:paraId="1FEE8492" w14:textId="77777777" w:rsidR="00EE6BE5" w:rsidRPr="00BD401A" w:rsidRDefault="00EE6BE5" w:rsidP="00DF4938">
            <w:pPr>
              <w:rPr>
                <w:rFonts w:ascii="Cambria" w:eastAsia="Times New Roman" w:hAnsi="Cambria"/>
              </w:rPr>
            </w:pPr>
          </w:p>
        </w:tc>
        <w:tc>
          <w:tcPr>
            <w:tcW w:w="6660" w:type="dxa"/>
          </w:tcPr>
          <w:p w14:paraId="1C60A943" w14:textId="77777777" w:rsidR="00EE6BE5" w:rsidRPr="00BD401A" w:rsidRDefault="00EE6BE5" w:rsidP="00DF4938">
            <w:pPr>
              <w:rPr>
                <w:rFonts w:ascii="Cambria" w:hAnsi="Cambria"/>
              </w:rPr>
            </w:pPr>
          </w:p>
        </w:tc>
      </w:tr>
      <w:tr w:rsidR="00EE6BE5" w:rsidRPr="00BD401A" w14:paraId="252082B7" w14:textId="77777777" w:rsidTr="00464ED9">
        <w:tc>
          <w:tcPr>
            <w:tcW w:w="3060" w:type="dxa"/>
          </w:tcPr>
          <w:p w14:paraId="0F17F2BD" w14:textId="77777777" w:rsidR="00EE6BE5" w:rsidRPr="00BD401A" w:rsidRDefault="00EE6BE5" w:rsidP="00DF4938">
            <w:pPr>
              <w:rPr>
                <w:rFonts w:ascii="Cambria" w:eastAsia="Times New Roman" w:hAnsi="Cambria"/>
              </w:rPr>
            </w:pPr>
          </w:p>
        </w:tc>
        <w:tc>
          <w:tcPr>
            <w:tcW w:w="6660" w:type="dxa"/>
          </w:tcPr>
          <w:p w14:paraId="24C7EECA" w14:textId="77777777" w:rsidR="00EE6BE5" w:rsidRPr="00BD401A" w:rsidRDefault="00EE6BE5" w:rsidP="00DF4938">
            <w:pPr>
              <w:rPr>
                <w:rFonts w:ascii="Cambria" w:hAnsi="Cambria"/>
              </w:rPr>
            </w:pPr>
          </w:p>
        </w:tc>
      </w:tr>
      <w:tr w:rsidR="00EE6BE5" w:rsidRPr="00BD401A" w14:paraId="7FBE4BC7" w14:textId="77777777" w:rsidTr="00464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60" w:type="dxa"/>
          </w:tcPr>
          <w:p w14:paraId="6B437D52" w14:textId="77777777" w:rsidR="00EE6BE5" w:rsidRPr="00BD401A" w:rsidRDefault="00EE6BE5" w:rsidP="00DF4938">
            <w:pPr>
              <w:rPr>
                <w:rFonts w:ascii="Cambria" w:eastAsia="Times New Roman" w:hAnsi="Cambria"/>
              </w:rPr>
            </w:pPr>
          </w:p>
        </w:tc>
        <w:tc>
          <w:tcPr>
            <w:tcW w:w="6660" w:type="dxa"/>
          </w:tcPr>
          <w:p w14:paraId="172BA0A3" w14:textId="77777777" w:rsidR="00EE6BE5" w:rsidRPr="00BD401A" w:rsidRDefault="00EE6BE5" w:rsidP="00DF4938">
            <w:pPr>
              <w:rPr>
                <w:rFonts w:ascii="Cambria" w:hAnsi="Cambria"/>
              </w:rPr>
            </w:pPr>
          </w:p>
        </w:tc>
      </w:tr>
    </w:tbl>
    <w:p w14:paraId="7D75E4CE" w14:textId="77777777" w:rsidR="0091622E" w:rsidRPr="00866225" w:rsidRDefault="006E2794" w:rsidP="00DA5FC6">
      <w:pPr>
        <w:pStyle w:val="Heading1"/>
        <w:keepLines w:val="0"/>
        <w:numPr>
          <w:ilvl w:val="0"/>
          <w:numId w:val="4"/>
        </w:numPr>
        <w:rPr>
          <w:rFonts w:asciiTheme="majorHAnsi" w:hAnsiTheme="majorHAnsi"/>
          <w:sz w:val="28"/>
          <w:szCs w:val="28"/>
        </w:rPr>
      </w:pPr>
      <w:r w:rsidRPr="00866225">
        <w:rPr>
          <w:rFonts w:asciiTheme="majorHAnsi" w:hAnsiTheme="majorHAnsi"/>
          <w:sz w:val="28"/>
          <w:szCs w:val="28"/>
        </w:rPr>
        <w:t>Policy</w:t>
      </w:r>
      <w:r w:rsidR="0091622E" w:rsidRPr="00866225">
        <w:rPr>
          <w:rFonts w:asciiTheme="majorHAnsi" w:hAnsiTheme="majorHAnsi"/>
          <w:sz w:val="28"/>
          <w:szCs w:val="28"/>
        </w:rPr>
        <w:t xml:space="preserve"> History</w:t>
      </w:r>
    </w:p>
    <w:p w14:paraId="2ED7AC99" w14:textId="77777777" w:rsidR="0091622E" w:rsidRPr="00866225" w:rsidRDefault="0091622E" w:rsidP="005F739F">
      <w:pPr>
        <w:ind w:left="360"/>
        <w:jc w:val="both"/>
        <w:rPr>
          <w:rFonts w:asciiTheme="majorHAnsi" w:hAnsiTheme="majorHAnsi" w:cstheme="minorHAnsi"/>
        </w:rPr>
      </w:pPr>
    </w:p>
    <w:tbl>
      <w:tblPr>
        <w:tblStyle w:val="ColorfulGrid-Accent1"/>
        <w:tblW w:w="0" w:type="auto"/>
        <w:tblInd w:w="468" w:type="dxa"/>
        <w:tblLook w:val="0400" w:firstRow="0" w:lastRow="0" w:firstColumn="0" w:lastColumn="0" w:noHBand="0" w:noVBand="1"/>
      </w:tblPr>
      <w:tblGrid>
        <w:gridCol w:w="1508"/>
        <w:gridCol w:w="3524"/>
        <w:gridCol w:w="4253"/>
      </w:tblGrid>
      <w:tr w:rsidR="00677220" w:rsidRPr="00866225" w14:paraId="46FA7655" w14:textId="77777777" w:rsidTr="006772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24" w:type="dxa"/>
            <w:shd w:val="clear" w:color="auto" w:fill="548DD4" w:themeFill="text2" w:themeFillTint="99"/>
          </w:tcPr>
          <w:p w14:paraId="23052381" w14:textId="77777777" w:rsidR="0091622E" w:rsidRPr="00866225" w:rsidRDefault="0091622E" w:rsidP="00D03EA6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 xml:space="preserve">Revision </w:t>
            </w:r>
            <w:r w:rsidR="00D03EA6" w:rsidRPr="00866225">
              <w:rPr>
                <w:rFonts w:asciiTheme="majorHAnsi" w:hAnsiTheme="majorHAnsi"/>
                <w:color w:val="FFFFFF" w:themeColor="background1"/>
              </w:rPr>
              <w:t>Date</w:t>
            </w:r>
          </w:p>
        </w:tc>
        <w:tc>
          <w:tcPr>
            <w:tcW w:w="3659" w:type="dxa"/>
            <w:shd w:val="clear" w:color="auto" w:fill="548DD4" w:themeFill="text2" w:themeFillTint="99"/>
          </w:tcPr>
          <w:p w14:paraId="172FCF00" w14:textId="77777777" w:rsidR="0091622E" w:rsidRPr="00866225" w:rsidRDefault="0091622E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>Author</w:t>
            </w:r>
          </w:p>
        </w:tc>
        <w:tc>
          <w:tcPr>
            <w:tcW w:w="4429" w:type="dxa"/>
            <w:shd w:val="clear" w:color="auto" w:fill="548DD4" w:themeFill="text2" w:themeFillTint="99"/>
          </w:tcPr>
          <w:p w14:paraId="20250340" w14:textId="77777777" w:rsidR="0091622E" w:rsidRPr="00866225" w:rsidRDefault="0091622E">
            <w:pPr>
              <w:rPr>
                <w:rFonts w:asciiTheme="majorHAnsi" w:hAnsiTheme="majorHAnsi"/>
                <w:color w:val="FFFFFF" w:themeColor="background1"/>
              </w:rPr>
            </w:pPr>
            <w:r w:rsidRPr="00866225">
              <w:rPr>
                <w:rFonts w:asciiTheme="majorHAnsi" w:hAnsiTheme="majorHAnsi"/>
                <w:color w:val="FFFFFF" w:themeColor="background1"/>
              </w:rPr>
              <w:t>Description</w:t>
            </w:r>
          </w:p>
        </w:tc>
      </w:tr>
      <w:tr w:rsidR="00677220" w:rsidRPr="00BD401A" w14:paraId="73174818" w14:textId="77777777" w:rsidTr="00677220">
        <w:tc>
          <w:tcPr>
            <w:tcW w:w="1524" w:type="dxa"/>
          </w:tcPr>
          <w:p w14:paraId="119A6AAE" w14:textId="5E091671" w:rsidR="0091622E" w:rsidRPr="00BD401A" w:rsidRDefault="00677220" w:rsidP="00E53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December 2024</w:t>
            </w:r>
          </w:p>
        </w:tc>
        <w:tc>
          <w:tcPr>
            <w:tcW w:w="3659" w:type="dxa"/>
          </w:tcPr>
          <w:p w14:paraId="6BFB59D8" w14:textId="15C46D66" w:rsidR="0091622E" w:rsidRPr="00BD401A" w:rsidRDefault="0067722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Libraries and Collections</w:t>
            </w:r>
          </w:p>
        </w:tc>
        <w:tc>
          <w:tcPr>
            <w:tcW w:w="4429" w:type="dxa"/>
          </w:tcPr>
          <w:p w14:paraId="24B29BFF" w14:textId="2B175692" w:rsidR="0091622E" w:rsidRPr="00BD401A" w:rsidRDefault="00677220" w:rsidP="004926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policy</w:t>
            </w:r>
          </w:p>
        </w:tc>
      </w:tr>
    </w:tbl>
    <w:p w14:paraId="3D00068C" w14:textId="77777777" w:rsidR="00C05900" w:rsidRPr="00866225" w:rsidRDefault="00C05900" w:rsidP="005F739F">
      <w:pPr>
        <w:ind w:left="360"/>
        <w:jc w:val="both"/>
        <w:rPr>
          <w:rFonts w:asciiTheme="majorHAnsi" w:hAnsiTheme="majorHAnsi" w:cstheme="minorHAnsi"/>
        </w:rPr>
      </w:pPr>
    </w:p>
    <w:sectPr w:rsidR="00C05900" w:rsidRPr="00866225" w:rsidSect="007F0F16">
      <w:footerReference w:type="default" r:id="rId14"/>
      <w:headerReference w:type="first" r:id="rId15"/>
      <w:footerReference w:type="first" r:id="rId16"/>
      <w:pgSz w:w="11907" w:h="16840" w:code="9"/>
      <w:pgMar w:top="851" w:right="1077" w:bottom="720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70C9D" w14:textId="77777777" w:rsidR="00EE0007" w:rsidRDefault="00EE0007" w:rsidP="00E60EC6">
      <w:r>
        <w:separator/>
      </w:r>
    </w:p>
  </w:endnote>
  <w:endnote w:type="continuationSeparator" w:id="0">
    <w:p w14:paraId="4AC70F7E" w14:textId="77777777" w:rsidR="00EE0007" w:rsidRDefault="00EE0007" w:rsidP="00E6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337959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sdt>
        <w:sdtPr>
          <w:rPr>
            <w:rFonts w:asciiTheme="minorHAnsi" w:hAnsiTheme="minorHAnsi" w:cstheme="minorHAnsi"/>
            <w:sz w:val="18"/>
            <w:szCs w:val="18"/>
          </w:rPr>
          <w:id w:val="2142380500"/>
          <w:docPartObj>
            <w:docPartGallery w:val="Page Numbers (Top of Page)"/>
            <w:docPartUnique/>
          </w:docPartObj>
        </w:sdtPr>
        <w:sdtEndPr/>
        <w:sdtContent>
          <w:p w14:paraId="07835D74" w14:textId="77777777" w:rsidR="00C17542" w:rsidRPr="00114E1D" w:rsidRDefault="00C17542">
            <w:pPr>
              <w:pStyle w:val="Footer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21625">
              <w:rPr>
                <w:rFonts w:cstheme="minorHAnsi"/>
                <w:sz w:val="20"/>
                <w:szCs w:val="20"/>
              </w:rPr>
              <w:t xml:space="preserve">Page 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0F8A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321625">
              <w:rPr>
                <w:rFonts w:cstheme="minorHAnsi"/>
                <w:sz w:val="20"/>
                <w:szCs w:val="20"/>
              </w:rPr>
              <w:t xml:space="preserve"> of 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4A0F8A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321625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A4E79B" w14:textId="77777777" w:rsidR="00C17542" w:rsidRPr="00114E1D" w:rsidRDefault="00C17542" w:rsidP="00114E1D">
    <w:pPr>
      <w:pStyle w:val="Footer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22874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484278226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6FA493F8" w14:textId="77777777" w:rsidR="00C17542" w:rsidRPr="00BD401A" w:rsidRDefault="00C17542" w:rsidP="00114E1D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BD401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D401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BD401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17CD720E" w14:textId="77777777" w:rsidR="00C17542" w:rsidRDefault="00C0295C" w:rsidP="00114E1D">
            <w:pPr>
              <w:pStyle w:val="Footer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488C5" w14:textId="77777777" w:rsidR="00EE0007" w:rsidRDefault="00EE0007" w:rsidP="00E60EC6">
      <w:r>
        <w:separator/>
      </w:r>
    </w:p>
  </w:footnote>
  <w:footnote w:type="continuationSeparator" w:id="0">
    <w:p w14:paraId="007C8BF4" w14:textId="77777777" w:rsidR="00EE0007" w:rsidRDefault="00EE0007" w:rsidP="00E60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59FCF" w14:textId="77777777" w:rsidR="00C17542" w:rsidRDefault="00897F65" w:rsidP="00897F65">
    <w:pPr>
      <w:pStyle w:val="Header"/>
      <w:rPr>
        <w:b/>
      </w:rPr>
    </w:pPr>
    <w:r>
      <w:rPr>
        <w:b/>
      </w:rPr>
      <w:tab/>
    </w:r>
    <w:r>
      <w:rPr>
        <w:b/>
      </w:rPr>
      <w:tab/>
    </w:r>
    <w:r w:rsidR="00C17542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261F"/>
    <w:multiLevelType w:val="hybridMultilevel"/>
    <w:tmpl w:val="5ECE9B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044AB"/>
    <w:multiLevelType w:val="hybridMultilevel"/>
    <w:tmpl w:val="225A63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E42995"/>
    <w:multiLevelType w:val="hybridMultilevel"/>
    <w:tmpl w:val="6958BA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BD1E58"/>
    <w:multiLevelType w:val="hybridMultilevel"/>
    <w:tmpl w:val="BF164B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EC130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0A771A"/>
    <w:multiLevelType w:val="hybridMultilevel"/>
    <w:tmpl w:val="C2501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9A1473"/>
    <w:multiLevelType w:val="multilevel"/>
    <w:tmpl w:val="D38422E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CC7B71"/>
    <w:multiLevelType w:val="multilevel"/>
    <w:tmpl w:val="D38422E6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D704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85B6DE6"/>
    <w:multiLevelType w:val="multilevel"/>
    <w:tmpl w:val="42D09F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6858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1" w15:restartNumberingAfterBreak="0">
    <w:nsid w:val="29265C73"/>
    <w:multiLevelType w:val="hybridMultilevel"/>
    <w:tmpl w:val="DC00AB9C"/>
    <w:lvl w:ilvl="0" w:tplc="0409000F">
      <w:start w:val="4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EA3E70"/>
    <w:multiLevelType w:val="hybridMultilevel"/>
    <w:tmpl w:val="18B89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80080"/>
    <w:multiLevelType w:val="hybridMultilevel"/>
    <w:tmpl w:val="5BB006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5A72A5"/>
    <w:multiLevelType w:val="multilevel"/>
    <w:tmpl w:val="0409001F"/>
    <w:numStyleLink w:val="111111"/>
  </w:abstractNum>
  <w:abstractNum w:abstractNumId="15" w15:restartNumberingAfterBreak="0">
    <w:nsid w:val="2FF92C23"/>
    <w:multiLevelType w:val="multilevel"/>
    <w:tmpl w:val="3CD4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18F73F4"/>
    <w:multiLevelType w:val="hybridMultilevel"/>
    <w:tmpl w:val="4E7653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4B032B"/>
    <w:multiLevelType w:val="hybridMultilevel"/>
    <w:tmpl w:val="7F44F656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8" w15:restartNumberingAfterBreak="0">
    <w:nsid w:val="388D36EA"/>
    <w:multiLevelType w:val="hybridMultilevel"/>
    <w:tmpl w:val="3D7E81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E67B62"/>
    <w:multiLevelType w:val="hybridMultilevel"/>
    <w:tmpl w:val="41D01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C6D5B50"/>
    <w:multiLevelType w:val="hybridMultilevel"/>
    <w:tmpl w:val="B83C6E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0134D2E"/>
    <w:multiLevelType w:val="multilevel"/>
    <w:tmpl w:val="E0FCB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291A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4CD2326"/>
    <w:multiLevelType w:val="multilevel"/>
    <w:tmpl w:val="DC00AB9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25265D"/>
    <w:multiLevelType w:val="hybridMultilevel"/>
    <w:tmpl w:val="05C485C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087F1A"/>
    <w:multiLevelType w:val="multilevel"/>
    <w:tmpl w:val="D158C870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A13EF"/>
    <w:multiLevelType w:val="hybridMultilevel"/>
    <w:tmpl w:val="D158C870"/>
    <w:lvl w:ilvl="0" w:tplc="0409000F">
      <w:start w:val="5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17697A"/>
    <w:multiLevelType w:val="hybridMultilevel"/>
    <w:tmpl w:val="8306DC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4A600A"/>
    <w:multiLevelType w:val="hybridMultilevel"/>
    <w:tmpl w:val="58FC3D46"/>
    <w:lvl w:ilvl="0" w:tplc="04090001">
      <w:start w:val="1"/>
      <w:numFmt w:val="bullet"/>
      <w:lvlText w:val=""/>
      <w:lvlJc w:val="left"/>
      <w:pPr>
        <w:ind w:left="6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29" w15:restartNumberingAfterBreak="0">
    <w:nsid w:val="5FB435C7"/>
    <w:multiLevelType w:val="hybridMultilevel"/>
    <w:tmpl w:val="C046E0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47C4603"/>
    <w:multiLevelType w:val="hybridMultilevel"/>
    <w:tmpl w:val="3A821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DC25CF"/>
    <w:multiLevelType w:val="hybridMultilevel"/>
    <w:tmpl w:val="64FED6B0"/>
    <w:lvl w:ilvl="0" w:tplc="7DC42E76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A211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D672B28"/>
    <w:multiLevelType w:val="hybridMultilevel"/>
    <w:tmpl w:val="926A9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44789236">
    <w:abstractNumId w:val="8"/>
  </w:num>
  <w:num w:numId="2" w16cid:durableId="166142111">
    <w:abstractNumId w:val="9"/>
  </w:num>
  <w:num w:numId="3" w16cid:durableId="484325775">
    <w:abstractNumId w:val="10"/>
  </w:num>
  <w:num w:numId="4" w16cid:durableId="925267164">
    <w:abstractNumId w:val="22"/>
  </w:num>
  <w:num w:numId="5" w16cid:durableId="1554077676">
    <w:abstractNumId w:val="21"/>
  </w:num>
  <w:num w:numId="6" w16cid:durableId="1706366979">
    <w:abstractNumId w:val="24"/>
  </w:num>
  <w:num w:numId="7" w16cid:durableId="405421705">
    <w:abstractNumId w:val="27"/>
  </w:num>
  <w:num w:numId="8" w16cid:durableId="973370540">
    <w:abstractNumId w:val="29"/>
  </w:num>
  <w:num w:numId="9" w16cid:durableId="202713653">
    <w:abstractNumId w:val="30"/>
  </w:num>
  <w:num w:numId="10" w16cid:durableId="1707175693">
    <w:abstractNumId w:val="5"/>
  </w:num>
  <w:num w:numId="11" w16cid:durableId="2054039194">
    <w:abstractNumId w:val="3"/>
  </w:num>
  <w:num w:numId="12" w16cid:durableId="1261641208">
    <w:abstractNumId w:val="1"/>
  </w:num>
  <w:num w:numId="13" w16cid:durableId="203294739">
    <w:abstractNumId w:val="15"/>
  </w:num>
  <w:num w:numId="14" w16cid:durableId="1632781528">
    <w:abstractNumId w:val="16"/>
  </w:num>
  <w:num w:numId="15" w16cid:durableId="1148136069">
    <w:abstractNumId w:val="13"/>
  </w:num>
  <w:num w:numId="16" w16cid:durableId="1790247681">
    <w:abstractNumId w:val="20"/>
  </w:num>
  <w:num w:numId="17" w16cid:durableId="136387146">
    <w:abstractNumId w:val="26"/>
  </w:num>
  <w:num w:numId="18" w16cid:durableId="750393616">
    <w:abstractNumId w:val="25"/>
  </w:num>
  <w:num w:numId="19" w16cid:durableId="1496149876">
    <w:abstractNumId w:val="7"/>
  </w:num>
  <w:num w:numId="20" w16cid:durableId="1917207962">
    <w:abstractNumId w:val="11"/>
  </w:num>
  <w:num w:numId="21" w16cid:durableId="1095787376">
    <w:abstractNumId w:val="23"/>
  </w:num>
  <w:num w:numId="22" w16cid:durableId="504824834">
    <w:abstractNumId w:val="4"/>
  </w:num>
  <w:num w:numId="23" w16cid:durableId="1625699165">
    <w:abstractNumId w:val="14"/>
  </w:num>
  <w:num w:numId="24" w16cid:durableId="1052386840">
    <w:abstractNumId w:val="32"/>
  </w:num>
  <w:num w:numId="25" w16cid:durableId="397942073">
    <w:abstractNumId w:val="6"/>
  </w:num>
  <w:num w:numId="26" w16cid:durableId="1384672628">
    <w:abstractNumId w:val="28"/>
  </w:num>
  <w:num w:numId="27" w16cid:durableId="1349523552">
    <w:abstractNumId w:val="17"/>
  </w:num>
  <w:num w:numId="28" w16cid:durableId="2075010303">
    <w:abstractNumId w:val="19"/>
  </w:num>
  <w:num w:numId="29" w16cid:durableId="1664968221">
    <w:abstractNumId w:val="18"/>
  </w:num>
  <w:num w:numId="30" w16cid:durableId="610825161">
    <w:abstractNumId w:val="33"/>
  </w:num>
  <w:num w:numId="31" w16cid:durableId="1256132660">
    <w:abstractNumId w:val="0"/>
  </w:num>
  <w:num w:numId="32" w16cid:durableId="1955168079">
    <w:abstractNumId w:val="12"/>
  </w:num>
  <w:num w:numId="33" w16cid:durableId="407113455">
    <w:abstractNumId w:val="2"/>
  </w:num>
  <w:num w:numId="34" w16cid:durableId="11631620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0F"/>
    <w:rsid w:val="00003317"/>
    <w:rsid w:val="00005239"/>
    <w:rsid w:val="00012248"/>
    <w:rsid w:val="00016CEA"/>
    <w:rsid w:val="00025B2A"/>
    <w:rsid w:val="0003489E"/>
    <w:rsid w:val="000420BB"/>
    <w:rsid w:val="00045A56"/>
    <w:rsid w:val="0004741F"/>
    <w:rsid w:val="00057014"/>
    <w:rsid w:val="00063113"/>
    <w:rsid w:val="00065A2C"/>
    <w:rsid w:val="00067F17"/>
    <w:rsid w:val="00090060"/>
    <w:rsid w:val="00092C88"/>
    <w:rsid w:val="000946A6"/>
    <w:rsid w:val="0009703E"/>
    <w:rsid w:val="000A3908"/>
    <w:rsid w:val="000A7746"/>
    <w:rsid w:val="000B1D31"/>
    <w:rsid w:val="000B2986"/>
    <w:rsid w:val="000C3AEF"/>
    <w:rsid w:val="000C7E4C"/>
    <w:rsid w:val="000D1837"/>
    <w:rsid w:val="000D3F5C"/>
    <w:rsid w:val="000D47D4"/>
    <w:rsid w:val="000E40D2"/>
    <w:rsid w:val="000F0A55"/>
    <w:rsid w:val="000F5B9D"/>
    <w:rsid w:val="000F7FE4"/>
    <w:rsid w:val="001066B7"/>
    <w:rsid w:val="00114E1D"/>
    <w:rsid w:val="00126345"/>
    <w:rsid w:val="001305D9"/>
    <w:rsid w:val="0013204A"/>
    <w:rsid w:val="0014196A"/>
    <w:rsid w:val="001430B7"/>
    <w:rsid w:val="00150C89"/>
    <w:rsid w:val="001601C4"/>
    <w:rsid w:val="001607B2"/>
    <w:rsid w:val="00164401"/>
    <w:rsid w:val="00174CF4"/>
    <w:rsid w:val="001943EC"/>
    <w:rsid w:val="00196063"/>
    <w:rsid w:val="001A468C"/>
    <w:rsid w:val="001B505A"/>
    <w:rsid w:val="001C1EA3"/>
    <w:rsid w:val="001C2117"/>
    <w:rsid w:val="001C4D33"/>
    <w:rsid w:val="001D32AC"/>
    <w:rsid w:val="001F3429"/>
    <w:rsid w:val="00206369"/>
    <w:rsid w:val="0021675C"/>
    <w:rsid w:val="00217254"/>
    <w:rsid w:val="00240D28"/>
    <w:rsid w:val="00245B60"/>
    <w:rsid w:val="00246A21"/>
    <w:rsid w:val="002503D9"/>
    <w:rsid w:val="00270224"/>
    <w:rsid w:val="00277329"/>
    <w:rsid w:val="0028084D"/>
    <w:rsid w:val="002919EF"/>
    <w:rsid w:val="00295E5A"/>
    <w:rsid w:val="00297D0D"/>
    <w:rsid w:val="002A08E7"/>
    <w:rsid w:val="002A158D"/>
    <w:rsid w:val="002A3961"/>
    <w:rsid w:val="002A6F00"/>
    <w:rsid w:val="002C32A8"/>
    <w:rsid w:val="002C4375"/>
    <w:rsid w:val="002C4A35"/>
    <w:rsid w:val="002D372D"/>
    <w:rsid w:val="002E074B"/>
    <w:rsid w:val="002F0B58"/>
    <w:rsid w:val="00300E29"/>
    <w:rsid w:val="00312524"/>
    <w:rsid w:val="00321623"/>
    <w:rsid w:val="00321625"/>
    <w:rsid w:val="003247C3"/>
    <w:rsid w:val="003300B7"/>
    <w:rsid w:val="00331AC0"/>
    <w:rsid w:val="003538E1"/>
    <w:rsid w:val="0036348F"/>
    <w:rsid w:val="00363E2F"/>
    <w:rsid w:val="00375DFB"/>
    <w:rsid w:val="00386DEF"/>
    <w:rsid w:val="00386E0D"/>
    <w:rsid w:val="003904A9"/>
    <w:rsid w:val="00394008"/>
    <w:rsid w:val="00394245"/>
    <w:rsid w:val="003A5253"/>
    <w:rsid w:val="003C2918"/>
    <w:rsid w:val="003C405F"/>
    <w:rsid w:val="003C6DB5"/>
    <w:rsid w:val="003F6B29"/>
    <w:rsid w:val="004015C2"/>
    <w:rsid w:val="0040312B"/>
    <w:rsid w:val="0041382A"/>
    <w:rsid w:val="004160B8"/>
    <w:rsid w:val="004249BB"/>
    <w:rsid w:val="004303FB"/>
    <w:rsid w:val="00430F74"/>
    <w:rsid w:val="0043261B"/>
    <w:rsid w:val="004349E8"/>
    <w:rsid w:val="0043589B"/>
    <w:rsid w:val="0044776A"/>
    <w:rsid w:val="00464ED9"/>
    <w:rsid w:val="0047131B"/>
    <w:rsid w:val="004738C5"/>
    <w:rsid w:val="00492670"/>
    <w:rsid w:val="00492765"/>
    <w:rsid w:val="004A0E10"/>
    <w:rsid w:val="004A0F8A"/>
    <w:rsid w:val="004A7B5C"/>
    <w:rsid w:val="004B2217"/>
    <w:rsid w:val="004E13B1"/>
    <w:rsid w:val="004E399C"/>
    <w:rsid w:val="004E44A0"/>
    <w:rsid w:val="004E63CF"/>
    <w:rsid w:val="004F3E87"/>
    <w:rsid w:val="0050073D"/>
    <w:rsid w:val="0050250C"/>
    <w:rsid w:val="005154AB"/>
    <w:rsid w:val="0052715C"/>
    <w:rsid w:val="005352AE"/>
    <w:rsid w:val="00540541"/>
    <w:rsid w:val="0055031C"/>
    <w:rsid w:val="0055317E"/>
    <w:rsid w:val="0058007D"/>
    <w:rsid w:val="00583157"/>
    <w:rsid w:val="00584EC7"/>
    <w:rsid w:val="005919EE"/>
    <w:rsid w:val="005A3EAE"/>
    <w:rsid w:val="005A56F5"/>
    <w:rsid w:val="005B5213"/>
    <w:rsid w:val="005C2EDF"/>
    <w:rsid w:val="005C6959"/>
    <w:rsid w:val="005D27C5"/>
    <w:rsid w:val="005D2ACC"/>
    <w:rsid w:val="005D5E84"/>
    <w:rsid w:val="005F739F"/>
    <w:rsid w:val="00604D23"/>
    <w:rsid w:val="00607487"/>
    <w:rsid w:val="00620684"/>
    <w:rsid w:val="006335DD"/>
    <w:rsid w:val="00636AE0"/>
    <w:rsid w:val="006441A6"/>
    <w:rsid w:val="006464DC"/>
    <w:rsid w:val="006607B1"/>
    <w:rsid w:val="00664CE1"/>
    <w:rsid w:val="00667203"/>
    <w:rsid w:val="006716CD"/>
    <w:rsid w:val="006726FB"/>
    <w:rsid w:val="006738BD"/>
    <w:rsid w:val="0067656E"/>
    <w:rsid w:val="00677220"/>
    <w:rsid w:val="00681448"/>
    <w:rsid w:val="00686B2F"/>
    <w:rsid w:val="006925D8"/>
    <w:rsid w:val="00694F22"/>
    <w:rsid w:val="00695CDA"/>
    <w:rsid w:val="006A1A5F"/>
    <w:rsid w:val="006A207C"/>
    <w:rsid w:val="006A44A3"/>
    <w:rsid w:val="006B387C"/>
    <w:rsid w:val="006C4AB8"/>
    <w:rsid w:val="006E2794"/>
    <w:rsid w:val="006F78A9"/>
    <w:rsid w:val="00700056"/>
    <w:rsid w:val="00717744"/>
    <w:rsid w:val="00722A0C"/>
    <w:rsid w:val="007320DA"/>
    <w:rsid w:val="0073569F"/>
    <w:rsid w:val="0074057B"/>
    <w:rsid w:val="007541D5"/>
    <w:rsid w:val="00762702"/>
    <w:rsid w:val="00762966"/>
    <w:rsid w:val="00774275"/>
    <w:rsid w:val="00782CE5"/>
    <w:rsid w:val="007A4B54"/>
    <w:rsid w:val="007B3713"/>
    <w:rsid w:val="007E1078"/>
    <w:rsid w:val="007F05B7"/>
    <w:rsid w:val="007F0F16"/>
    <w:rsid w:val="007F6026"/>
    <w:rsid w:val="00800800"/>
    <w:rsid w:val="0082032D"/>
    <w:rsid w:val="00823641"/>
    <w:rsid w:val="0082491D"/>
    <w:rsid w:val="00834A36"/>
    <w:rsid w:val="008619AF"/>
    <w:rsid w:val="00866225"/>
    <w:rsid w:val="00875D75"/>
    <w:rsid w:val="008762CC"/>
    <w:rsid w:val="008908DC"/>
    <w:rsid w:val="00892704"/>
    <w:rsid w:val="0089309C"/>
    <w:rsid w:val="00894BEE"/>
    <w:rsid w:val="00897F65"/>
    <w:rsid w:val="008A2AC9"/>
    <w:rsid w:val="008A3E14"/>
    <w:rsid w:val="008A408F"/>
    <w:rsid w:val="008A5B5B"/>
    <w:rsid w:val="008B0E34"/>
    <w:rsid w:val="008B3D13"/>
    <w:rsid w:val="008C40A8"/>
    <w:rsid w:val="008C49EA"/>
    <w:rsid w:val="008C5D70"/>
    <w:rsid w:val="008D485A"/>
    <w:rsid w:val="008F4FE4"/>
    <w:rsid w:val="009052EE"/>
    <w:rsid w:val="00912DB0"/>
    <w:rsid w:val="0091622E"/>
    <w:rsid w:val="00921A48"/>
    <w:rsid w:val="00923FB9"/>
    <w:rsid w:val="00925C31"/>
    <w:rsid w:val="00931B7B"/>
    <w:rsid w:val="00940A50"/>
    <w:rsid w:val="00947502"/>
    <w:rsid w:val="00967F0F"/>
    <w:rsid w:val="00983730"/>
    <w:rsid w:val="0098707B"/>
    <w:rsid w:val="00994E6F"/>
    <w:rsid w:val="00996E14"/>
    <w:rsid w:val="009A013C"/>
    <w:rsid w:val="009A247D"/>
    <w:rsid w:val="009B337F"/>
    <w:rsid w:val="009B617D"/>
    <w:rsid w:val="009C06DA"/>
    <w:rsid w:val="009D77D4"/>
    <w:rsid w:val="009E4B48"/>
    <w:rsid w:val="009E6506"/>
    <w:rsid w:val="009F0A18"/>
    <w:rsid w:val="00A05BDB"/>
    <w:rsid w:val="00A165B7"/>
    <w:rsid w:val="00A274B1"/>
    <w:rsid w:val="00A27C31"/>
    <w:rsid w:val="00A3475B"/>
    <w:rsid w:val="00A37204"/>
    <w:rsid w:val="00A46DBE"/>
    <w:rsid w:val="00A61CC5"/>
    <w:rsid w:val="00A73A40"/>
    <w:rsid w:val="00A81825"/>
    <w:rsid w:val="00AA79CF"/>
    <w:rsid w:val="00AB0630"/>
    <w:rsid w:val="00AB699F"/>
    <w:rsid w:val="00AC713D"/>
    <w:rsid w:val="00AD5422"/>
    <w:rsid w:val="00AD6AC1"/>
    <w:rsid w:val="00AE1FAC"/>
    <w:rsid w:val="00AF2B7F"/>
    <w:rsid w:val="00AF5C96"/>
    <w:rsid w:val="00AF7574"/>
    <w:rsid w:val="00B007F1"/>
    <w:rsid w:val="00B030E3"/>
    <w:rsid w:val="00B1357E"/>
    <w:rsid w:val="00B2651B"/>
    <w:rsid w:val="00B27806"/>
    <w:rsid w:val="00B27D5E"/>
    <w:rsid w:val="00B419AE"/>
    <w:rsid w:val="00B4317B"/>
    <w:rsid w:val="00B45027"/>
    <w:rsid w:val="00B4722F"/>
    <w:rsid w:val="00B52FB2"/>
    <w:rsid w:val="00B57E5B"/>
    <w:rsid w:val="00B64038"/>
    <w:rsid w:val="00B67D02"/>
    <w:rsid w:val="00B76FFA"/>
    <w:rsid w:val="00B77BDD"/>
    <w:rsid w:val="00B84605"/>
    <w:rsid w:val="00BC0030"/>
    <w:rsid w:val="00BC0050"/>
    <w:rsid w:val="00BC455B"/>
    <w:rsid w:val="00BD3484"/>
    <w:rsid w:val="00BD401A"/>
    <w:rsid w:val="00BE0168"/>
    <w:rsid w:val="00BF61BE"/>
    <w:rsid w:val="00C0295C"/>
    <w:rsid w:val="00C05900"/>
    <w:rsid w:val="00C17542"/>
    <w:rsid w:val="00C21C0E"/>
    <w:rsid w:val="00C24C3B"/>
    <w:rsid w:val="00C24E44"/>
    <w:rsid w:val="00C259A4"/>
    <w:rsid w:val="00C30BB3"/>
    <w:rsid w:val="00C35987"/>
    <w:rsid w:val="00C369A9"/>
    <w:rsid w:val="00C429CD"/>
    <w:rsid w:val="00C54E01"/>
    <w:rsid w:val="00C619D1"/>
    <w:rsid w:val="00C736E6"/>
    <w:rsid w:val="00C775B4"/>
    <w:rsid w:val="00C9636F"/>
    <w:rsid w:val="00CA1BF0"/>
    <w:rsid w:val="00CA381C"/>
    <w:rsid w:val="00CB5DF9"/>
    <w:rsid w:val="00CB6E31"/>
    <w:rsid w:val="00CB715E"/>
    <w:rsid w:val="00CE339C"/>
    <w:rsid w:val="00CE436F"/>
    <w:rsid w:val="00CF25C1"/>
    <w:rsid w:val="00CF33E8"/>
    <w:rsid w:val="00D00826"/>
    <w:rsid w:val="00D03EA6"/>
    <w:rsid w:val="00D14DDB"/>
    <w:rsid w:val="00D337FA"/>
    <w:rsid w:val="00D42EFE"/>
    <w:rsid w:val="00D44507"/>
    <w:rsid w:val="00D50E6B"/>
    <w:rsid w:val="00D54C52"/>
    <w:rsid w:val="00D56CF4"/>
    <w:rsid w:val="00D56E4D"/>
    <w:rsid w:val="00D61218"/>
    <w:rsid w:val="00D61D8F"/>
    <w:rsid w:val="00D63966"/>
    <w:rsid w:val="00D74F4F"/>
    <w:rsid w:val="00D7543B"/>
    <w:rsid w:val="00D756F0"/>
    <w:rsid w:val="00D77F0B"/>
    <w:rsid w:val="00D8200F"/>
    <w:rsid w:val="00D90166"/>
    <w:rsid w:val="00D94C32"/>
    <w:rsid w:val="00DA3CDD"/>
    <w:rsid w:val="00DA5FC6"/>
    <w:rsid w:val="00DB008A"/>
    <w:rsid w:val="00DB5C31"/>
    <w:rsid w:val="00DC118E"/>
    <w:rsid w:val="00DC50D5"/>
    <w:rsid w:val="00DF202A"/>
    <w:rsid w:val="00DF4938"/>
    <w:rsid w:val="00DF58A7"/>
    <w:rsid w:val="00E0310E"/>
    <w:rsid w:val="00E27216"/>
    <w:rsid w:val="00E53A92"/>
    <w:rsid w:val="00E53EEF"/>
    <w:rsid w:val="00E60EC6"/>
    <w:rsid w:val="00E62C5A"/>
    <w:rsid w:val="00E83BA0"/>
    <w:rsid w:val="00EA20F8"/>
    <w:rsid w:val="00EB2BB4"/>
    <w:rsid w:val="00EB5833"/>
    <w:rsid w:val="00EB5EE8"/>
    <w:rsid w:val="00EB67D3"/>
    <w:rsid w:val="00EB6872"/>
    <w:rsid w:val="00EC08EB"/>
    <w:rsid w:val="00EC2867"/>
    <w:rsid w:val="00ED16F4"/>
    <w:rsid w:val="00ED51F9"/>
    <w:rsid w:val="00ED6F16"/>
    <w:rsid w:val="00EE0007"/>
    <w:rsid w:val="00EE0F32"/>
    <w:rsid w:val="00EE6BE5"/>
    <w:rsid w:val="00EE7C6E"/>
    <w:rsid w:val="00EF222B"/>
    <w:rsid w:val="00EF3878"/>
    <w:rsid w:val="00F0673B"/>
    <w:rsid w:val="00F07146"/>
    <w:rsid w:val="00F077D7"/>
    <w:rsid w:val="00F10ED1"/>
    <w:rsid w:val="00F133F5"/>
    <w:rsid w:val="00F43165"/>
    <w:rsid w:val="00F667C3"/>
    <w:rsid w:val="00F67E3A"/>
    <w:rsid w:val="00F866BF"/>
    <w:rsid w:val="00FB1B40"/>
    <w:rsid w:val="00FB731D"/>
    <w:rsid w:val="00FC034D"/>
    <w:rsid w:val="00FC3F09"/>
    <w:rsid w:val="00FD504E"/>
    <w:rsid w:val="00FD5E66"/>
    <w:rsid w:val="00FD63F0"/>
    <w:rsid w:val="00FE03C1"/>
    <w:rsid w:val="00FF0CB8"/>
    <w:rsid w:val="00FF69DE"/>
    <w:rsid w:val="00FF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B75147"/>
  <w15:docId w15:val="{209036CC-FA8C-4A8E-95D7-B37D3FF0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3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 w:uiPriority="73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60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C31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C31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77BDD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7C31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7C31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77BDD"/>
    <w:rPr>
      <w:rFonts w:ascii="Calibri" w:hAnsi="Calibri" w:cs="Times New Roman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F60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163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D8200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77BD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206369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0636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06369"/>
    <w:rPr>
      <w:rFonts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0636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06369"/>
    <w:rPr>
      <w:rFonts w:cs="Times New Roman"/>
      <w:b/>
      <w:bCs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2A3961"/>
    <w:pPr>
      <w:ind w:left="720"/>
    </w:pPr>
    <w:rPr>
      <w:rFonts w:ascii="Times New Roman" w:eastAsia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A3961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5A5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5919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19E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919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919EE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5919E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722A0C"/>
  </w:style>
  <w:style w:type="character" w:customStyle="1" w:styleId="FootnoteTextChar">
    <w:name w:val="Footnote Text Char"/>
    <w:basedOn w:val="DefaultParagraphFont"/>
    <w:link w:val="FootnoteText"/>
    <w:uiPriority w:val="99"/>
    <w:rsid w:val="00722A0C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722A0C"/>
    <w:rPr>
      <w:vertAlign w:val="superscript"/>
    </w:rPr>
  </w:style>
  <w:style w:type="table" w:styleId="ColorfulGrid-Accent1">
    <w:name w:val="Colorful Grid Accent 1"/>
    <w:basedOn w:val="TableNormal"/>
    <w:uiPriority w:val="73"/>
    <w:rsid w:val="00AA79CF"/>
    <w:rPr>
      <w:rFonts w:asciiTheme="minorHAnsi" w:eastAsiaTheme="minorHAnsi" w:hAnsiTheme="minorHAnsi" w:cstheme="minorBidi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A79CF"/>
    <w:rPr>
      <w:color w:val="800080" w:themeColor="followed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967F0F"/>
    <w:pPr>
      <w:numPr>
        <w:numId w:val="22"/>
      </w:numPr>
    </w:pPr>
  </w:style>
  <w:style w:type="paragraph" w:styleId="BodyText3">
    <w:name w:val="Body Text 3"/>
    <w:basedOn w:val="Normal"/>
    <w:link w:val="BodyText3Char"/>
    <w:rsid w:val="00C359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35987"/>
    <w:rPr>
      <w:sz w:val="16"/>
      <w:szCs w:val="16"/>
    </w:rPr>
  </w:style>
  <w:style w:type="paragraph" w:styleId="Title">
    <w:name w:val="Title"/>
    <w:basedOn w:val="Normal"/>
    <w:link w:val="TitleChar"/>
    <w:qFormat/>
    <w:rsid w:val="00C35987"/>
    <w:pPr>
      <w:spacing w:before="240" w:after="240"/>
      <w:outlineLvl w:val="0"/>
    </w:pPr>
    <w:rPr>
      <w:rFonts w:ascii="Times New Roman" w:eastAsia="Times New Roman" w:hAnsi="Times New Roman"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C35987"/>
    <w:rPr>
      <w:rFonts w:ascii="Times New Roman" w:eastAsia="Times New Roman" w:hAnsi="Times New Roman" w:cs="Arial"/>
      <w:b/>
      <w:bCs/>
      <w:kern w:val="28"/>
      <w:sz w:val="36"/>
      <w:szCs w:val="32"/>
    </w:rPr>
  </w:style>
  <w:style w:type="paragraph" w:styleId="BodyText">
    <w:name w:val="Body Text"/>
    <w:basedOn w:val="Normal"/>
    <w:link w:val="BodyTextChar"/>
    <w:rsid w:val="00C0590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05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wansea.ac.uk/library/archive-and-research-collectio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yunilibrary@swansea.ac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18" ma:contentTypeDescription="Create a new document." ma:contentTypeScope="" ma:versionID="b14fba911a49d5e7d73ee9621d5fe0b8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c6afbcba2add0c0bf79ab908f966699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10d953-1102-46a7-a5a9-1506bb5c0dc8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ed5d4-381e-4468-a5ad-bda3e7f9d20c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8596AF-D417-4408-A15E-BBA6F5CABF79}"/>
</file>

<file path=customXml/itemProps2.xml><?xml version="1.0" encoding="utf-8"?>
<ds:datastoreItem xmlns:ds="http://schemas.openxmlformats.org/officeDocument/2006/customXml" ds:itemID="{BF5013D8-73DD-48B9-B511-0A1825A324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0C35CE-0944-483B-8763-771D67DED50A}">
  <ds:schemaRefs>
    <ds:schemaRef ds:uri="http://purl.org/dc/dcmitype/"/>
    <ds:schemaRef ds:uri="http://schemas.openxmlformats.org/package/2006/metadata/core-properties"/>
    <ds:schemaRef ds:uri="15fa6158-d651-4170-88e6-465e5e004c84"/>
    <ds:schemaRef ds:uri="http://schemas.microsoft.com/office/2006/documentManagement/types"/>
    <ds:schemaRef ds:uri="b557c8b8-40b2-4ca5-a155-710bd753a04a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F59F8B9-5B40-47A3-BF26-C246D89AD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Biever</dc:creator>
  <cp:lastModifiedBy>Annette Linton</cp:lastModifiedBy>
  <cp:revision>26</cp:revision>
  <cp:lastPrinted>2018-04-26T12:30:00Z</cp:lastPrinted>
  <dcterms:created xsi:type="dcterms:W3CDTF">2024-11-05T08:51:00Z</dcterms:created>
  <dcterms:modified xsi:type="dcterms:W3CDTF">2024-11-05T15:09:00Z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0x010100862CD68A3A74494B87D215CD4715F85F</vt:lpwstr>
  </property>
</Properties>
</file>